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FD631" w14:textId="6DDDEF4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</w:t>
      </w:r>
      <w:r w:rsidR="005741F9">
        <w:t>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A15E08" w:rsidRPr="00A15E08">
        <w:rPr>
          <w:sz w:val="32"/>
          <w:szCs w:val="32"/>
        </w:rPr>
        <w:t>200</w:t>
      </w:r>
      <w:r w:rsidR="005741F9">
        <w:rPr>
          <w:sz w:val="32"/>
          <w:szCs w:val="32"/>
        </w:rPr>
        <w:t>3446</w:t>
      </w:r>
    </w:p>
    <w:p w14:paraId="43B8D830" w14:textId="22FD61B8" w:rsidR="00E90E49" w:rsidRPr="00CE0424" w:rsidRDefault="00A15E08" w:rsidP="00311702">
      <w:pPr>
        <w:pStyle w:val="3GPPHeader"/>
      </w:pPr>
      <w:r w:rsidRPr="00A15E08">
        <w:t xml:space="preserve">e-Meeting, </w:t>
      </w:r>
      <w:r w:rsidR="005741F9" w:rsidRPr="00524C62">
        <w:t>May 25</w:t>
      </w:r>
      <w:r w:rsidR="005741F9" w:rsidRPr="00524C62">
        <w:rPr>
          <w:vertAlign w:val="superscript"/>
        </w:rPr>
        <w:t>th</w:t>
      </w:r>
      <w:r w:rsidR="005741F9" w:rsidRPr="00524C62">
        <w:t xml:space="preserve"> – June 5</w:t>
      </w:r>
      <w:r w:rsidR="005741F9" w:rsidRPr="00524C62">
        <w:rPr>
          <w:vertAlign w:val="superscript"/>
        </w:rPr>
        <w:t>th</w:t>
      </w:r>
      <w:r w:rsidR="005741F9" w:rsidRPr="00524C62">
        <w:t>, 2020</w:t>
      </w:r>
    </w:p>
    <w:p w14:paraId="254A80BB" w14:textId="77777777" w:rsidR="00E90E49" w:rsidRPr="00CE0424" w:rsidRDefault="00E90E49" w:rsidP="00357380">
      <w:pPr>
        <w:pStyle w:val="3GPPHeader"/>
      </w:pPr>
    </w:p>
    <w:p w14:paraId="363950DD" w14:textId="0CBAE257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A15E08" w:rsidRPr="00A15E08">
        <w:rPr>
          <w:sz w:val="22"/>
          <w:szCs w:val="22"/>
          <w:lang w:val="sv-FI"/>
        </w:rPr>
        <w:t>7.2.11.5</w:t>
      </w:r>
    </w:p>
    <w:p w14:paraId="4FDFFA5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939D17" w14:textId="25BC766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15E08" w:rsidRPr="00A15E08">
        <w:rPr>
          <w:sz w:val="22"/>
          <w:szCs w:val="22"/>
        </w:rPr>
        <w:t xml:space="preserve">On UE Features for URLLC and </w:t>
      </w:r>
      <w:proofErr w:type="spellStart"/>
      <w:r w:rsidR="00A15E08" w:rsidRPr="00A15E08">
        <w:rPr>
          <w:sz w:val="22"/>
          <w:szCs w:val="22"/>
        </w:rPr>
        <w:t>IIoT</w:t>
      </w:r>
      <w:proofErr w:type="spellEnd"/>
    </w:p>
    <w:p w14:paraId="5FFE721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15E08">
        <w:rPr>
          <w:sz w:val="22"/>
          <w:szCs w:val="22"/>
        </w:rPr>
        <w:t>Discussion, Decision</w:t>
      </w:r>
    </w:p>
    <w:p w14:paraId="3F6CBEEB" w14:textId="77777777" w:rsidR="00E90E49" w:rsidRPr="00CE0424" w:rsidRDefault="00E90E49" w:rsidP="00E90E49"/>
    <w:p w14:paraId="49E504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F8358D" w14:textId="6A9F4785" w:rsidR="00F373D9" w:rsidRDefault="00F373D9" w:rsidP="00CE0424">
      <w:pPr>
        <w:pStyle w:val="BodyText"/>
      </w:pPr>
      <w:r>
        <w:t>Currently in RAN1, UE feature of NR is intensively discussed for Rel-16. After RAN1#10</w:t>
      </w:r>
      <w:r w:rsidR="003B6A28">
        <w:t>1</w:t>
      </w:r>
      <w:r>
        <w:t xml:space="preserve"> e-meeting, </w:t>
      </w:r>
      <w:r w:rsidRPr="004240BC">
        <w:t>R1-200</w:t>
      </w:r>
      <w:r w:rsidR="003B6A28">
        <w:t>3199 and R1-2003200</w:t>
      </w:r>
      <w:r>
        <w:t xml:space="preserve"> </w:t>
      </w:r>
      <w:r w:rsidR="00C81129">
        <w:t>summarizes</w:t>
      </w:r>
      <w:r>
        <w:t xml:space="preserve"> the outcome of </w:t>
      </w:r>
      <w:r w:rsidR="00C81129">
        <w:t xml:space="preserve">NR </w:t>
      </w:r>
      <w:r>
        <w:t>UE feature discussion</w:t>
      </w:r>
      <w:r w:rsidR="003B6A28">
        <w:t xml:space="preserve"> for URLLC and </w:t>
      </w:r>
      <w:proofErr w:type="spellStart"/>
      <w:r w:rsidR="003B6A28">
        <w:t>IIoT</w:t>
      </w:r>
      <w:proofErr w:type="spellEnd"/>
      <w:r w:rsidR="003B6A28">
        <w:t>, respectively</w:t>
      </w:r>
      <w:r>
        <w:t xml:space="preserve">. </w:t>
      </w:r>
    </w:p>
    <w:p w14:paraId="71FAE3D8" w14:textId="20753741" w:rsidR="00477768" w:rsidRPr="00CE0424" w:rsidRDefault="00F373D9" w:rsidP="00CE0424">
      <w:pPr>
        <w:pStyle w:val="BodyText"/>
      </w:pPr>
      <w:r>
        <w:t xml:space="preserve">In this contribution, we further discuss several feature groups for </w:t>
      </w:r>
      <w:r w:rsidRPr="00F373D9">
        <w:t>NR_L1enh_URLLC</w:t>
      </w:r>
      <w:r>
        <w:t xml:space="preserve"> and </w:t>
      </w:r>
      <w:proofErr w:type="spellStart"/>
      <w:r>
        <w:t>NR_IIoT</w:t>
      </w:r>
      <w:proofErr w:type="spellEnd"/>
      <w:r>
        <w:t xml:space="preserve">, using </w:t>
      </w:r>
      <w:r w:rsidR="003B6A28" w:rsidRPr="004240BC">
        <w:t>R1-200</w:t>
      </w:r>
      <w:r w:rsidR="003B6A28">
        <w:t>3199 and R1-2003200</w:t>
      </w:r>
      <w:r>
        <w:t xml:space="preserve"> as the basis.</w:t>
      </w:r>
    </w:p>
    <w:p w14:paraId="4103B6F3" w14:textId="1BA782EF" w:rsidR="004000E8" w:rsidRDefault="00230D18" w:rsidP="00CE0424">
      <w:pPr>
        <w:pStyle w:val="Heading1"/>
        <w:rPr>
          <w:rFonts w:eastAsia="Batang"/>
          <w:sz w:val="32"/>
          <w:szCs w:val="32"/>
          <w:lang w:val="en-US" w:eastAsia="ko-KR"/>
        </w:rPr>
      </w:pPr>
      <w:bookmarkStart w:id="0" w:name="_Ref178064866"/>
      <w:r>
        <w:t>2</w:t>
      </w:r>
      <w:r>
        <w:tab/>
      </w:r>
      <w:bookmarkStart w:id="1" w:name="_Hlk37441024"/>
      <w:bookmarkEnd w:id="0"/>
      <w:r w:rsidR="005E3EEF" w:rsidRPr="005F37C3">
        <w:rPr>
          <w:rFonts w:eastAsia="Batang"/>
          <w:sz w:val="32"/>
          <w:szCs w:val="32"/>
          <w:lang w:val="en-US" w:eastAsia="ko-KR"/>
        </w:rPr>
        <w:t>NR_L1enh_URLLC</w:t>
      </w:r>
      <w:bookmarkEnd w:id="1"/>
    </w:p>
    <w:p w14:paraId="12ADBB66" w14:textId="65E786C9" w:rsidR="004A3AD4" w:rsidRDefault="004A3AD4" w:rsidP="004A3AD4">
      <w:pPr>
        <w:pStyle w:val="Heading2"/>
      </w:pPr>
      <w:r>
        <w:t>2.1</w:t>
      </w:r>
      <w:r>
        <w:tab/>
      </w:r>
      <w:r>
        <w:rPr>
          <w:rFonts w:eastAsia="Batang"/>
          <w:szCs w:val="32"/>
          <w:lang w:val="en-US" w:eastAsia="ko-KR"/>
        </w:rPr>
        <w:t>Potential FG for Overlapping PUCCH</w:t>
      </w:r>
    </w:p>
    <w:p w14:paraId="79AEA224" w14:textId="77777777" w:rsidR="00DC7A5E" w:rsidRPr="00DC7A5E" w:rsidRDefault="00DC7A5E" w:rsidP="00DC7A5E">
      <w:pPr>
        <w:pStyle w:val="BodyText"/>
        <w:spacing w:before="240"/>
        <w:rPr>
          <w:rFonts w:cs="Arial"/>
          <w:iCs/>
          <w:sz w:val="22"/>
          <w:szCs w:val="22"/>
        </w:rPr>
      </w:pPr>
      <w:r w:rsidRPr="00DC7A5E">
        <w:rPr>
          <w:rFonts w:cs="Arial"/>
          <w:sz w:val="22"/>
          <w:szCs w:val="22"/>
        </w:rPr>
        <w:t>I</w:t>
      </w:r>
      <w:r w:rsidRPr="00DC7A5E">
        <w:rPr>
          <w:rFonts w:cs="Arial"/>
          <w:iCs/>
          <w:sz w:val="22"/>
          <w:szCs w:val="22"/>
        </w:rPr>
        <w:t>n last RAN1 e-meeting #100-bis, following agreements were made.</w:t>
      </w:r>
    </w:p>
    <w:p w14:paraId="3B8F33AB" w14:textId="77777777" w:rsidR="00DC7A5E" w:rsidRPr="0090108C" w:rsidRDefault="00DC7A5E" w:rsidP="00DC7A5E">
      <w:pPr>
        <w:spacing w:after="0"/>
        <w:rPr>
          <w:rFonts w:ascii="Calibri" w:hAnsi="Calibri"/>
          <w:b/>
          <w:bCs/>
          <w:highlight w:val="green"/>
          <w:lang w:eastAsia="ko-KR"/>
        </w:rPr>
      </w:pPr>
      <w:r w:rsidRPr="0090108C">
        <w:rPr>
          <w:rFonts w:ascii="Times" w:hAnsi="Times"/>
          <w:highlight w:val="green"/>
          <w:lang w:eastAsia="ko-KR"/>
        </w:rPr>
        <w:t>Agreements:</w:t>
      </w:r>
    </w:p>
    <w:p w14:paraId="7FBDF2DF" w14:textId="77777777" w:rsidR="00DC7A5E" w:rsidRPr="0090108C" w:rsidRDefault="00DC7A5E" w:rsidP="00DC7A5E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ko-KR"/>
        </w:rPr>
      </w:pPr>
      <w:bookmarkStart w:id="2" w:name="_Hlk40385009"/>
      <w:r w:rsidRPr="0090108C">
        <w:rPr>
          <w:rFonts w:ascii="Times" w:hAnsi="Times"/>
          <w:lang w:eastAsia="ko-KR"/>
        </w:rPr>
        <w:t xml:space="preserve">If a UE is scheduled with a first PDSCH and a second PDSCH which is starting later than the first PDSCH on a given serving cell, the corresponding PUCCHs carrying HARQ-ACK with different priorities can overlap in time. </w:t>
      </w:r>
    </w:p>
    <w:bookmarkEnd w:id="2"/>
    <w:p w14:paraId="351B475A" w14:textId="77777777" w:rsidR="00DC7A5E" w:rsidRDefault="00DC7A5E" w:rsidP="00DC7A5E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ko-KR"/>
        </w:rPr>
      </w:pPr>
      <w:r w:rsidRPr="0090108C">
        <w:rPr>
          <w:rFonts w:ascii="Times" w:hAnsi="Times"/>
          <w:color w:val="C00000"/>
          <w:lang w:eastAsia="ko-KR"/>
        </w:rPr>
        <w:t>FFS:</w:t>
      </w:r>
      <w:r w:rsidRPr="0090108C">
        <w:rPr>
          <w:rFonts w:ascii="Times" w:hAnsi="Times"/>
          <w:lang w:eastAsia="ko-KR"/>
        </w:rPr>
        <w:t xml:space="preserve"> For supporting this feature, </w:t>
      </w:r>
      <w:r w:rsidRPr="0090108C">
        <w:rPr>
          <w:rFonts w:ascii="Times" w:hAnsi="Times"/>
          <w:color w:val="C00000"/>
          <w:lang w:eastAsia="ko-KR"/>
        </w:rPr>
        <w:t>a new FG, separate from FG 12-1</w:t>
      </w:r>
      <w:r w:rsidRPr="0090108C">
        <w:rPr>
          <w:rFonts w:ascii="Times" w:hAnsi="Times"/>
          <w:lang w:eastAsia="ko-KR"/>
        </w:rPr>
        <w:t>, will be introduced.</w:t>
      </w:r>
    </w:p>
    <w:p w14:paraId="728D28BA" w14:textId="77777777" w:rsidR="00DC7A5E" w:rsidRDefault="00DC7A5E" w:rsidP="00DC7A5E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ascii="Times" w:hAnsi="Times"/>
          <w:lang w:eastAsia="ko-KR"/>
        </w:rPr>
      </w:pPr>
      <w:r w:rsidRPr="0090108C">
        <w:rPr>
          <w:rFonts w:ascii="Times" w:hAnsi="Times"/>
          <w:lang w:eastAsia="ko-KR"/>
        </w:rPr>
        <w:t>FFS: The PUCCH associated with the second PDSCH cannot be scheduled for transmission at or earlier than PUCCH associated with the first PDSCH.</w:t>
      </w:r>
    </w:p>
    <w:p w14:paraId="0456C8B8" w14:textId="105EEFAC" w:rsidR="004A3AD4" w:rsidRPr="008B0860" w:rsidRDefault="004A3AD4" w:rsidP="004A3AD4">
      <w:pPr>
        <w:rPr>
          <w:sz w:val="18"/>
          <w:szCs w:val="18"/>
          <w:lang w:eastAsia="ko-KR"/>
        </w:rPr>
      </w:pPr>
    </w:p>
    <w:p w14:paraId="7CA69807" w14:textId="77777777" w:rsidR="00DC7A5E" w:rsidRPr="008B0860" w:rsidRDefault="00DC7A5E" w:rsidP="00DC7A5E">
      <w:pPr>
        <w:spacing w:after="0"/>
        <w:jc w:val="both"/>
        <w:rPr>
          <w:rFonts w:ascii="Arial" w:hAnsi="Arial" w:cs="Arial"/>
          <w:sz w:val="22"/>
          <w:szCs w:val="22"/>
        </w:rPr>
      </w:pPr>
      <w:r w:rsidRPr="008B0860">
        <w:rPr>
          <w:rFonts w:ascii="Arial" w:hAnsi="Arial" w:cs="Arial"/>
          <w:sz w:val="22"/>
          <w:szCs w:val="22"/>
        </w:rPr>
        <w:t xml:space="preserve">Regarding whether a new FG other than FG 12-1 is needed, one needs to check whether a UE implements FG 12-1 would also implement the intended new FG. The potential new FG is to support PUCCHs carrying HARQ-ACK with different priorities, and it is a sub-case of “overlapping channel/signals with two priority levels” covered by FG 12-1 (see below). Specifically, component 3) of FG 12-1 fully covers the case of PUCCHs carrying HARQ-ACK with different priorities. </w:t>
      </w:r>
      <w:proofErr w:type="gramStart"/>
      <w:r w:rsidRPr="008B0860">
        <w:rPr>
          <w:rFonts w:ascii="Arial" w:hAnsi="Arial" w:cs="Arial"/>
          <w:sz w:val="22"/>
          <w:szCs w:val="22"/>
        </w:rPr>
        <w:t>Thus</w:t>
      </w:r>
      <w:proofErr w:type="gramEnd"/>
      <w:r w:rsidRPr="008B0860">
        <w:rPr>
          <w:rFonts w:ascii="Arial" w:hAnsi="Arial" w:cs="Arial"/>
          <w:sz w:val="22"/>
          <w:szCs w:val="22"/>
        </w:rPr>
        <w:t xml:space="preserve"> there is no need to introduce a new FG beyond FG 12-1.</w:t>
      </w:r>
    </w:p>
    <w:p w14:paraId="1E233B75" w14:textId="77777777" w:rsidR="00DC7A5E" w:rsidRDefault="00DC7A5E" w:rsidP="00DC7A5E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630"/>
        <w:gridCol w:w="2610"/>
        <w:gridCol w:w="5580"/>
      </w:tblGrid>
      <w:tr w:rsidR="00DC7A5E" w:rsidRPr="001A468E" w14:paraId="34C079E4" w14:textId="77777777" w:rsidTr="00686FD7">
        <w:trPr>
          <w:trHeight w:val="2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ACB52B" w14:textId="77777777" w:rsidR="00DC7A5E" w:rsidRPr="001A468E" w:rsidRDefault="00DC7A5E" w:rsidP="00686FD7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</w:rPr>
            </w:pPr>
            <w:r w:rsidRPr="001A468E">
              <w:rPr>
                <w:rFonts w:ascii="Arial" w:eastAsia="SimSun" w:hAnsi="Arial"/>
                <w:sz w:val="18"/>
              </w:rPr>
              <w:lastRenderedPageBreak/>
              <w:t>12. NR_IIOT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1F45" w14:textId="77777777" w:rsidR="00DC7A5E" w:rsidRPr="001A468E" w:rsidRDefault="00DC7A5E" w:rsidP="00686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A468E">
              <w:rPr>
                <w:rFonts w:ascii="Arial" w:eastAsia="SimSun" w:hAnsi="Arial"/>
                <w:sz w:val="18"/>
              </w:rPr>
              <w:t>12-1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5C13" w14:textId="77777777" w:rsidR="00DC7A5E" w:rsidRPr="001A468E" w:rsidRDefault="00DC7A5E" w:rsidP="00686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A468E">
              <w:rPr>
                <w:rFonts w:ascii="Arial" w:eastAsia="SimSun" w:hAnsi="Arial"/>
                <w:sz w:val="18"/>
                <w:lang w:eastAsia="en-US"/>
              </w:rPr>
              <w:t>UL intra-UE multiplexing/prioritization of overlapping channel/signals with two priority levels in physical layer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615" w14:textId="77777777" w:rsidR="00DC7A5E" w:rsidRPr="001A468E" w:rsidRDefault="00DC7A5E" w:rsidP="00686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A468E">
              <w:rPr>
                <w:rFonts w:ascii="Arial" w:eastAsia="SimSun" w:hAnsi="Arial"/>
                <w:sz w:val="18"/>
                <w:lang w:eastAsia="en-US"/>
              </w:rPr>
              <w:t>Support intra-UE multiplexing/prioritization of overlapping PUCCH/PUCCH and PUCCH/PUSCH with two priority levels in physical layer (PHY)</w:t>
            </w:r>
          </w:p>
          <w:p w14:paraId="58694CCC" w14:textId="77777777" w:rsidR="00DC7A5E" w:rsidRPr="001A468E" w:rsidRDefault="00DC7A5E" w:rsidP="00DC7A5E">
            <w:pPr>
              <w:keepNext/>
              <w:keepLines/>
              <w:numPr>
                <w:ilvl w:val="0"/>
                <w:numId w:val="33"/>
              </w:num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A468E">
              <w:rPr>
                <w:rFonts w:ascii="Arial" w:eastAsia="SimSun" w:hAnsi="Arial"/>
                <w:sz w:val="18"/>
                <w:lang w:eastAsia="en-US"/>
              </w:rPr>
              <w:t>[Configuration of PHY priority level for CG PUSCH and SR, and dynamic indication of priority level for dynamic PUSCH with a single DCI format]</w:t>
            </w:r>
          </w:p>
          <w:p w14:paraId="5AB41EA6" w14:textId="77777777" w:rsidR="00DC7A5E" w:rsidRPr="001A468E" w:rsidRDefault="00DC7A5E" w:rsidP="00DC7A5E">
            <w:pPr>
              <w:keepNext/>
              <w:keepLines/>
              <w:numPr>
                <w:ilvl w:val="0"/>
                <w:numId w:val="33"/>
              </w:numPr>
              <w:spacing w:after="0"/>
              <w:rPr>
                <w:rFonts w:ascii="Arial" w:eastAsia="SimSun" w:hAnsi="Arial"/>
                <w:sz w:val="18"/>
              </w:rPr>
            </w:pPr>
            <w:r w:rsidRPr="001A468E">
              <w:rPr>
                <w:rFonts w:ascii="Arial" w:eastAsia="SimSun" w:hAnsi="Arial"/>
                <w:sz w:val="18"/>
                <w:lang w:eastAsia="en-US"/>
              </w:rPr>
              <w:t>Multiplexing/prioritization between UL channels/signals with the same PHY priority level</w:t>
            </w:r>
          </w:p>
          <w:p w14:paraId="4B08BFC3" w14:textId="77777777" w:rsidR="00DC7A5E" w:rsidRPr="001A468E" w:rsidRDefault="00DC7A5E" w:rsidP="00DC7A5E">
            <w:pPr>
              <w:keepNext/>
              <w:keepLines/>
              <w:numPr>
                <w:ilvl w:val="0"/>
                <w:numId w:val="33"/>
              </w:num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A468E">
              <w:rPr>
                <w:rFonts w:ascii="Arial" w:eastAsia="SimSun" w:hAnsi="Arial"/>
                <w:sz w:val="18"/>
                <w:highlight w:val="green"/>
                <w:lang w:eastAsia="en-US"/>
              </w:rPr>
              <w:t>Prioritization between UL channels/signals with different PHY priority levels</w:t>
            </w:r>
          </w:p>
          <w:p w14:paraId="29B1868A" w14:textId="77777777" w:rsidR="00DC7A5E" w:rsidRPr="001A468E" w:rsidRDefault="00DC7A5E" w:rsidP="00DC7A5E">
            <w:pPr>
              <w:keepNext/>
              <w:keepLines/>
              <w:numPr>
                <w:ilvl w:val="0"/>
                <w:numId w:val="33"/>
              </w:numPr>
              <w:spacing w:after="0"/>
              <w:rPr>
                <w:rFonts w:ascii="Arial" w:eastAsia="SimSun" w:hAnsi="Arial"/>
                <w:sz w:val="18"/>
              </w:rPr>
            </w:pPr>
            <w:r w:rsidRPr="001A468E">
              <w:rPr>
                <w:rFonts w:ascii="Arial" w:eastAsia="SimSun" w:hAnsi="Arial"/>
                <w:sz w:val="18"/>
              </w:rPr>
              <w:t>Additional number of symbols (d1) needed beyond the PUSCH preparation time for cancelling a low priority UL transmission.</w:t>
            </w:r>
          </w:p>
          <w:p w14:paraId="1A8328C9" w14:textId="77777777" w:rsidR="00DC7A5E" w:rsidRPr="001A468E" w:rsidRDefault="00DC7A5E" w:rsidP="00DC7A5E">
            <w:pPr>
              <w:keepNext/>
              <w:keepLines/>
              <w:numPr>
                <w:ilvl w:val="0"/>
                <w:numId w:val="33"/>
              </w:numPr>
              <w:spacing w:after="0"/>
              <w:rPr>
                <w:rFonts w:ascii="Arial" w:eastAsia="SimSun" w:hAnsi="Arial"/>
                <w:sz w:val="18"/>
              </w:rPr>
            </w:pPr>
            <w:r w:rsidRPr="001A468E">
              <w:rPr>
                <w:rFonts w:ascii="Arial" w:eastAsia="SimSun" w:hAnsi="Arial"/>
                <w:sz w:val="18"/>
              </w:rPr>
              <w:t xml:space="preserve">Additional number of symbols (d2) needed beyond the PUSCH preparation time for scheduling a high priority UL transmission that cancels a low priority UL transmission </w:t>
            </w:r>
          </w:p>
        </w:tc>
      </w:tr>
    </w:tbl>
    <w:p w14:paraId="5710F59F" w14:textId="77777777" w:rsidR="00DC7A5E" w:rsidRPr="001A468E" w:rsidRDefault="00DC7A5E" w:rsidP="00DC7A5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0ABADC7" w14:textId="77777777" w:rsidR="00DC7A5E" w:rsidRDefault="00DC7A5E" w:rsidP="00DC7A5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7148F5E" w14:textId="2F3E83B9" w:rsidR="00DC7A5E" w:rsidRPr="008B0860" w:rsidRDefault="00DC7A5E" w:rsidP="00DC7A5E">
      <w:pPr>
        <w:pStyle w:val="Proposal"/>
        <w:numPr>
          <w:ilvl w:val="0"/>
          <w:numId w:val="35"/>
        </w:numPr>
        <w:tabs>
          <w:tab w:val="clear" w:pos="1304"/>
          <w:tab w:val="num" w:pos="1800"/>
        </w:tabs>
        <w:overflowPunct/>
        <w:autoSpaceDE/>
        <w:autoSpaceDN/>
        <w:adjustRightInd/>
        <w:spacing w:before="240" w:line="256" w:lineRule="auto"/>
        <w:ind w:left="1710" w:hanging="1710"/>
        <w:textAlignment w:val="auto"/>
        <w:rPr>
          <w:rFonts w:cs="Arial"/>
          <w:sz w:val="22"/>
          <w:szCs w:val="22"/>
        </w:rPr>
      </w:pPr>
      <w:bookmarkStart w:id="3" w:name="_Toc40486059"/>
      <w:bookmarkStart w:id="4" w:name="_Toc40494263"/>
      <w:r w:rsidRPr="008B0860">
        <w:rPr>
          <w:rFonts w:cs="Arial"/>
          <w:sz w:val="22"/>
          <w:szCs w:val="22"/>
        </w:rPr>
        <w:t>Do not introduce a new FG beyond FG 12-1 for overlapping PUCCHs carrying HARQ-ACK with different priorities.</w:t>
      </w:r>
      <w:bookmarkEnd w:id="3"/>
      <w:bookmarkEnd w:id="4"/>
    </w:p>
    <w:p w14:paraId="6FACDECE" w14:textId="6D1D960C" w:rsidR="00A74D87" w:rsidRDefault="00A74D87" w:rsidP="00A74D87">
      <w:pPr>
        <w:pStyle w:val="Heading2"/>
      </w:pPr>
      <w:r>
        <w:t>2.2</w:t>
      </w:r>
      <w:r>
        <w:tab/>
      </w:r>
      <w:r w:rsidR="006852E8">
        <w:t>Add FG 11-2b for M</w:t>
      </w:r>
      <w:proofErr w:type="spellStart"/>
      <w:r w:rsidR="00127DB0">
        <w:rPr>
          <w:rFonts w:eastAsia="Batang"/>
          <w:szCs w:val="32"/>
          <w:lang w:val="en-US" w:eastAsia="ko-KR"/>
        </w:rPr>
        <w:t>ixed</w:t>
      </w:r>
      <w:proofErr w:type="spellEnd"/>
      <w:r w:rsidR="00127DB0">
        <w:rPr>
          <w:rFonts w:eastAsia="Batang"/>
          <w:szCs w:val="32"/>
          <w:lang w:val="en-US" w:eastAsia="ko-KR"/>
        </w:rPr>
        <w:t xml:space="preserve"> Rel-15 and Rel-16 Monitoring Capabilities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334"/>
        <w:gridCol w:w="3853"/>
        <w:gridCol w:w="1755"/>
      </w:tblGrid>
      <w:tr w:rsidR="006852E8" w14:paraId="0437ECC7" w14:textId="77777777" w:rsidTr="006852E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BC0E" w14:textId="77777777" w:rsidR="006852E8" w:rsidRDefault="006852E8">
            <w:pPr>
              <w:pStyle w:val="TAH"/>
            </w:pPr>
            <w: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3290" w14:textId="77777777" w:rsidR="006852E8" w:rsidRDefault="006852E8">
            <w:pPr>
              <w:pStyle w:val="TAH"/>
            </w:pPr>
            <w: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911D" w14:textId="77777777" w:rsidR="006852E8" w:rsidRDefault="006852E8">
            <w:pPr>
              <w:pStyle w:val="TAH"/>
            </w:pPr>
            <w: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ADFF" w14:textId="77777777" w:rsidR="006852E8" w:rsidRDefault="006852E8">
            <w:pPr>
              <w:pStyle w:val="TAH"/>
            </w:pPr>
            <w:r>
              <w:t>Prerequisite feature groups</w:t>
            </w:r>
          </w:p>
        </w:tc>
      </w:tr>
      <w:tr w:rsidR="006852E8" w14:paraId="2B31DA9B" w14:textId="77777777" w:rsidTr="006852E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394D" w14:textId="77777777" w:rsidR="006852E8" w:rsidRDefault="006852E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11-2b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22D9" w14:textId="77777777" w:rsidR="006852E8" w:rsidRDefault="006852E8">
            <w:pPr>
              <w:pStyle w:val="TAL"/>
              <w:rPr>
                <w:lang w:eastAsia="en-US"/>
              </w:rPr>
            </w:pPr>
            <w:r>
              <w:rPr>
                <w:rFonts w:eastAsia="SimSun"/>
                <w:iCs/>
                <w:lang w:eastAsia="zh-CN"/>
              </w:rPr>
              <w:t>Rel-15 monitoring capability and Rel-16 monitoring capability on different serving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E3FB" w14:textId="77777777" w:rsidR="006852E8" w:rsidRDefault="006852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[Support </w:t>
            </w:r>
            <w:r>
              <w:rPr>
                <w:rFonts w:eastAsia="SimSun"/>
                <w:iCs/>
                <w:lang w:eastAsia="zh-CN"/>
              </w:rPr>
              <w:t>Rel-15 monitoring capability and Rel-16 monitoring capability on different serving cells]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10D1E57C" w14:textId="77777777" w:rsidR="006852E8" w:rsidRDefault="006852E8" w:rsidP="006852E8">
            <w:pPr>
              <w:pStyle w:val="TAL"/>
              <w:numPr>
                <w:ilvl w:val="0"/>
                <w:numId w:val="40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Capability on the number of CCs with Rel-15 PDCCH monitoring capability </w:t>
            </w:r>
          </w:p>
          <w:p w14:paraId="5F5D7C98" w14:textId="77777777" w:rsidR="006852E8" w:rsidRDefault="006852E8" w:rsidP="006852E8">
            <w:pPr>
              <w:pStyle w:val="TAL"/>
              <w:numPr>
                <w:ilvl w:val="0"/>
                <w:numId w:val="40"/>
              </w:num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Capability on the number of CCs with Rel-16 PDCCH monitoring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B60D" w14:textId="77777777" w:rsidR="006852E8" w:rsidRDefault="006852E8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  <w:lang w:eastAsia="zh-CN"/>
              </w:rPr>
              <w:t>11-2</w:t>
            </w:r>
          </w:p>
        </w:tc>
      </w:tr>
    </w:tbl>
    <w:p w14:paraId="213542FA" w14:textId="6D54E554" w:rsidR="004A3AD4" w:rsidRDefault="004A3AD4" w:rsidP="004A3AD4">
      <w:pPr>
        <w:rPr>
          <w:lang w:val="en-US" w:eastAsia="ko-KR"/>
        </w:rPr>
      </w:pPr>
    </w:p>
    <w:p w14:paraId="6CEEB655" w14:textId="7F56383B" w:rsidR="006852E8" w:rsidRDefault="006852E8" w:rsidP="004A3AD4">
      <w:pPr>
        <w:rPr>
          <w:lang w:val="en-US" w:eastAsia="ko-KR"/>
        </w:rPr>
      </w:pPr>
      <w:r>
        <w:rPr>
          <w:lang w:val="en-US" w:eastAsia="ko-KR"/>
        </w:rPr>
        <w:t xml:space="preserve">In RAN1#100bis, further agreements have been made for mixed </w:t>
      </w:r>
      <w:r w:rsidRPr="006852E8">
        <w:rPr>
          <w:lang w:val="en-US" w:eastAsia="ko-KR"/>
        </w:rPr>
        <w:t>Rel-15 monitoring capability and Rel-16 monitoring capability on different serving cells</w:t>
      </w:r>
      <w:r>
        <w:rPr>
          <w:lang w:val="en-US" w:eastAsia="ko-KR"/>
        </w:rPr>
        <w:t>. It is necessary to introduce FG 11-2b to reflect the RAN1 agreements.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9625"/>
      </w:tblGrid>
      <w:tr w:rsidR="006852E8" w14:paraId="10436FD6" w14:textId="77777777" w:rsidTr="006852E8">
        <w:tc>
          <w:tcPr>
            <w:tcW w:w="9625" w:type="dxa"/>
          </w:tcPr>
          <w:p w14:paraId="3F08EE27" w14:textId="77777777" w:rsidR="006852E8" w:rsidRDefault="006852E8" w:rsidP="00686FD7">
            <w:pPr>
              <w:spacing w:afterLines="50" w:after="120"/>
              <w:jc w:val="both"/>
              <w:rPr>
                <w:rFonts w:ascii="Times" w:eastAsia="DengXian" w:hAnsi="Times"/>
                <w:color w:val="000000"/>
                <w:sz w:val="20"/>
              </w:rPr>
            </w:pPr>
            <w:r>
              <w:rPr>
                <w:rFonts w:ascii="Times" w:eastAsia="DengXian" w:hAnsi="Times"/>
                <w:color w:val="000000"/>
                <w:sz w:val="20"/>
                <w:highlight w:val="green"/>
              </w:rPr>
              <w:t>Agreements</w:t>
            </w:r>
            <w:r>
              <w:rPr>
                <w:rFonts w:ascii="Times" w:eastAsia="DengXian" w:hAnsi="Times"/>
                <w:color w:val="000000"/>
                <w:sz w:val="20"/>
              </w:rPr>
              <w:t>:</w:t>
            </w:r>
          </w:p>
          <w:p w14:paraId="54A528FB" w14:textId="77777777" w:rsidR="006852E8" w:rsidRDefault="006852E8" w:rsidP="00686FD7">
            <w:pPr>
              <w:spacing w:afterLines="50" w:after="120"/>
              <w:jc w:val="both"/>
              <w:rPr>
                <w:rFonts w:eastAsia="DengXian"/>
                <w:sz w:val="20"/>
                <w:lang w:val="en-US" w:eastAsia="zh-CN"/>
              </w:rPr>
            </w:pPr>
            <w:r>
              <w:rPr>
                <w:rFonts w:ascii="Times" w:eastAsia="DengXian" w:hAnsi="Times"/>
                <w:sz w:val="20"/>
              </w:rPr>
              <w:t xml:space="preserve">For the case with </w:t>
            </w:r>
            <w:r>
              <w:rPr>
                <w:rFonts w:ascii="Times" w:eastAsia="DengXian" w:hAnsi="Times"/>
                <w:sz w:val="20"/>
                <w:highlight w:val="yellow"/>
              </w:rPr>
              <w:t>Rel-15 monitoring capability and Rel-16 monitoring capability on different serving cells</w:t>
            </w:r>
            <w:r>
              <w:rPr>
                <w:rFonts w:ascii="Times" w:eastAsia="DengXian" w:hAnsi="Times"/>
                <w:sz w:val="20"/>
              </w:rPr>
              <w:t xml:space="preserve"> (i.e. case 3), UE will report one or more combination of (pdcch-BlindDetectionCA-R15, pdcch-BlindDetectionCA-R16) </w:t>
            </w:r>
            <w:r>
              <w:rPr>
                <w:rFonts w:ascii="Times" w:eastAsia="DengXian" w:hAnsi="Times"/>
                <w:sz w:val="20"/>
                <w:highlight w:val="yellow"/>
              </w:rPr>
              <w:t>as UE capability</w:t>
            </w:r>
            <w:r>
              <w:rPr>
                <w:rFonts w:ascii="Times" w:eastAsia="DengXian" w:hAnsi="Times"/>
                <w:sz w:val="20"/>
              </w:rPr>
              <w:t>.</w:t>
            </w:r>
          </w:p>
          <w:p w14:paraId="5F2204B7" w14:textId="77777777" w:rsidR="006852E8" w:rsidRDefault="006852E8" w:rsidP="00686FD7">
            <w:pPr>
              <w:snapToGrid w:val="0"/>
              <w:spacing w:after="120"/>
              <w:ind w:left="785" w:hanging="360"/>
              <w:jc w:val="both"/>
              <w:rPr>
                <w:rFonts w:ascii="Times" w:eastAsia="DengXian" w:hAnsi="Times"/>
                <w:sz w:val="20"/>
              </w:rPr>
            </w:pPr>
            <w:r>
              <w:rPr>
                <w:rFonts w:ascii="Symbol" w:eastAsia="DengXian" w:hAnsi="Symbol"/>
                <w:sz w:val="20"/>
              </w:rPr>
              <w:t></w:t>
            </w:r>
            <w:r>
              <w:rPr>
                <w:rFonts w:ascii="Times" w:eastAsia="DengXian" w:hAnsi="Times"/>
                <w:sz w:val="20"/>
              </w:rPr>
              <w:t>         If UE reports more than one combination of (pdcch-BlindDetectionCA-R15, pdcch-BlindDetectionCA-R16),</w:t>
            </w:r>
          </w:p>
          <w:p w14:paraId="371BD106" w14:textId="77777777" w:rsidR="006852E8" w:rsidRDefault="006852E8" w:rsidP="006852E8">
            <w:pPr>
              <w:numPr>
                <w:ilvl w:val="1"/>
                <w:numId w:val="41"/>
              </w:numPr>
              <w:snapToGrid w:val="0"/>
              <w:spacing w:after="120"/>
              <w:jc w:val="both"/>
              <w:rPr>
                <w:rFonts w:ascii="Times" w:eastAsia="Times New Roman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gNB configure which combination for UE to use for scaling PDCCH monitoring capability if the number of CCs configured is larger than the reported capability </w:t>
            </w:r>
          </w:p>
          <w:p w14:paraId="412EA647" w14:textId="77777777" w:rsidR="006852E8" w:rsidRDefault="006852E8" w:rsidP="00686FD7">
            <w:pPr>
              <w:snapToGrid w:val="0"/>
              <w:spacing w:after="120"/>
              <w:jc w:val="both"/>
              <w:rPr>
                <w:rFonts w:ascii="Calibri" w:hAnsi="Calibri" w:cs="Calibri"/>
                <w:color w:val="1F497D"/>
                <w:sz w:val="21"/>
                <w:szCs w:val="21"/>
                <w:highlight w:val="cyan"/>
              </w:rPr>
            </w:pPr>
          </w:p>
          <w:p w14:paraId="35ADB621" w14:textId="77777777" w:rsidR="006852E8" w:rsidRDefault="006852E8" w:rsidP="00686FD7">
            <w:pPr>
              <w:spacing w:afterLines="50" w:after="120"/>
              <w:rPr>
                <w:rFonts w:eastAsia="DengXian"/>
                <w:sz w:val="20"/>
                <w:lang w:val="en-US" w:eastAsia="zh-CN"/>
              </w:rPr>
            </w:pPr>
            <w:r>
              <w:rPr>
                <w:rFonts w:ascii="Times" w:eastAsia="DengXian" w:hAnsi="Times"/>
                <w:sz w:val="20"/>
                <w:highlight w:val="green"/>
              </w:rPr>
              <w:t>Agreements</w:t>
            </w:r>
            <w:r>
              <w:rPr>
                <w:rFonts w:ascii="Times" w:eastAsia="DengXian" w:hAnsi="Times"/>
                <w:b/>
                <w:bCs/>
                <w:sz w:val="20"/>
              </w:rPr>
              <w:t>:</w:t>
            </w:r>
            <w:r>
              <w:rPr>
                <w:rFonts w:ascii="Times" w:eastAsia="DengXian" w:hAnsi="Times"/>
                <w:i/>
                <w:iCs/>
                <w:sz w:val="20"/>
              </w:rPr>
              <w:t xml:space="preserve"> </w:t>
            </w:r>
            <w:r>
              <w:rPr>
                <w:rFonts w:ascii="Times" w:eastAsia="DengXian" w:hAnsi="Times"/>
                <w:sz w:val="20"/>
              </w:rPr>
              <w:t>For one reported combination of (pdcch-BlindDetectionCA-R15, pdcch-BlindDetectionCA-R16) for CA:</w:t>
            </w:r>
          </w:p>
          <w:p w14:paraId="6430DCA3" w14:textId="77777777" w:rsidR="006852E8" w:rsidRDefault="006852E8" w:rsidP="00686FD7">
            <w:pPr>
              <w:snapToGrid w:val="0"/>
              <w:spacing w:after="120"/>
              <w:ind w:left="785" w:hanging="360"/>
              <w:jc w:val="both"/>
              <w:rPr>
                <w:rFonts w:ascii="Times" w:eastAsia="DengXian" w:hAnsi="Times"/>
                <w:sz w:val="20"/>
              </w:rPr>
            </w:pPr>
            <w:r>
              <w:rPr>
                <w:rFonts w:ascii="Symbol" w:eastAsia="DengXian" w:hAnsi="Symbol"/>
                <w:sz w:val="20"/>
              </w:rPr>
              <w:t></w:t>
            </w:r>
            <w:r>
              <w:rPr>
                <w:rFonts w:ascii="Times" w:eastAsia="DengXian" w:hAnsi="Times"/>
                <w:sz w:val="20"/>
              </w:rPr>
              <w:t>         The minimum value of pdcch-BlindDetectionCA-R15 is 1 and the minimum value of pdcch-BlindDetectionCA-R16 is 1</w:t>
            </w:r>
          </w:p>
          <w:p w14:paraId="418D5273" w14:textId="77777777" w:rsidR="006852E8" w:rsidRDefault="006852E8" w:rsidP="00686FD7">
            <w:pPr>
              <w:snapToGrid w:val="0"/>
              <w:spacing w:after="120"/>
              <w:ind w:left="785" w:hanging="360"/>
              <w:jc w:val="both"/>
              <w:rPr>
                <w:rFonts w:ascii="Times" w:eastAsia="DengXian" w:hAnsi="Times"/>
                <w:sz w:val="20"/>
              </w:rPr>
            </w:pPr>
            <w:r>
              <w:rPr>
                <w:rFonts w:ascii="Symbol" w:eastAsia="DengXian" w:hAnsi="Symbol"/>
                <w:sz w:val="20"/>
              </w:rPr>
              <w:t></w:t>
            </w:r>
            <w:r>
              <w:rPr>
                <w:rFonts w:ascii="Times" w:eastAsia="DengXian" w:hAnsi="Times"/>
                <w:sz w:val="20"/>
              </w:rPr>
              <w:t>         [</w:t>
            </w:r>
            <w:r>
              <w:rPr>
                <w:rFonts w:ascii="Times" w:eastAsia="DengXian" w:hAnsi="Times"/>
                <w:color w:val="FF0000"/>
                <w:sz w:val="20"/>
              </w:rPr>
              <w:t>3]&lt;=</w:t>
            </w:r>
            <w:r>
              <w:rPr>
                <w:rFonts w:ascii="Times" w:eastAsia="DengXian" w:hAnsi="Times"/>
                <w:sz w:val="20"/>
              </w:rPr>
              <w:t>pdcch-BlindDetectionCA-R15 + pdcch-BlindDetectionCA-R16 &lt;=16</w:t>
            </w:r>
          </w:p>
          <w:p w14:paraId="65A0DB91" w14:textId="77777777" w:rsidR="006852E8" w:rsidRDefault="006852E8" w:rsidP="00686FD7">
            <w:pPr>
              <w:snapToGrid w:val="0"/>
              <w:spacing w:after="120"/>
              <w:ind w:left="785" w:hanging="360"/>
              <w:jc w:val="both"/>
              <w:rPr>
                <w:rFonts w:ascii="Times" w:eastAsia="DengXian" w:hAnsi="Times"/>
                <w:sz w:val="20"/>
              </w:rPr>
            </w:pPr>
            <w:r>
              <w:rPr>
                <w:rFonts w:ascii="Symbol" w:eastAsia="DengXian" w:hAnsi="Symbol"/>
                <w:sz w:val="20"/>
              </w:rPr>
              <w:t></w:t>
            </w:r>
            <w:r>
              <w:rPr>
                <w:rFonts w:ascii="Times" w:eastAsia="DengXian" w:hAnsi="Times"/>
                <w:sz w:val="20"/>
              </w:rPr>
              <w:t>         Candidate values for pdcch-BlindDetectionCA-R15 is 1 to 15</w:t>
            </w:r>
          </w:p>
          <w:p w14:paraId="6714490D" w14:textId="77777777" w:rsidR="006852E8" w:rsidRDefault="006852E8" w:rsidP="00686FD7">
            <w:pPr>
              <w:snapToGrid w:val="0"/>
              <w:spacing w:after="120"/>
              <w:ind w:left="785" w:hanging="360"/>
              <w:jc w:val="both"/>
            </w:pPr>
            <w:r>
              <w:rPr>
                <w:rFonts w:ascii="Symbol" w:eastAsia="DengXian" w:hAnsi="Symbol"/>
                <w:sz w:val="20"/>
              </w:rPr>
              <w:t></w:t>
            </w:r>
            <w:r>
              <w:rPr>
                <w:rFonts w:ascii="Times" w:eastAsia="DengXian" w:hAnsi="Times"/>
                <w:sz w:val="20"/>
              </w:rPr>
              <w:t>         Candidate values for pdcch-BlindDetectionCA-R16 is 1 to 15 </w:t>
            </w:r>
          </w:p>
        </w:tc>
      </w:tr>
    </w:tbl>
    <w:p w14:paraId="0D8A21AB" w14:textId="5FBE87CA" w:rsidR="006852E8" w:rsidRDefault="006852E8" w:rsidP="004A3AD4">
      <w:pPr>
        <w:rPr>
          <w:lang w:eastAsia="ko-KR"/>
        </w:rPr>
      </w:pPr>
    </w:p>
    <w:p w14:paraId="2B6C3FF4" w14:textId="75B3D91A" w:rsidR="006852E8" w:rsidRPr="006852E8" w:rsidRDefault="006852E8" w:rsidP="004A3AD4">
      <w:pPr>
        <w:pStyle w:val="Proposal"/>
        <w:numPr>
          <w:ilvl w:val="0"/>
          <w:numId w:val="35"/>
        </w:numPr>
        <w:tabs>
          <w:tab w:val="clear" w:pos="1304"/>
          <w:tab w:val="num" w:pos="1800"/>
        </w:tabs>
        <w:overflowPunct/>
        <w:autoSpaceDE/>
        <w:autoSpaceDN/>
        <w:adjustRightInd/>
        <w:spacing w:before="240" w:line="256" w:lineRule="auto"/>
        <w:ind w:left="1710" w:hanging="1710"/>
        <w:textAlignment w:val="auto"/>
        <w:rPr>
          <w:rFonts w:cs="Arial"/>
          <w:sz w:val="22"/>
          <w:szCs w:val="22"/>
        </w:rPr>
      </w:pPr>
      <w:bookmarkStart w:id="5" w:name="_Toc40494264"/>
      <w:r>
        <w:rPr>
          <w:rFonts w:cs="Arial"/>
          <w:sz w:val="22"/>
          <w:szCs w:val="22"/>
        </w:rPr>
        <w:lastRenderedPageBreak/>
        <w:t>I</w:t>
      </w:r>
      <w:r w:rsidRPr="008B0860">
        <w:rPr>
          <w:rFonts w:cs="Arial"/>
          <w:sz w:val="22"/>
          <w:szCs w:val="22"/>
        </w:rPr>
        <w:t xml:space="preserve">ntroduce </w:t>
      </w:r>
      <w:r>
        <w:rPr>
          <w:rFonts w:cs="Arial"/>
          <w:sz w:val="22"/>
          <w:szCs w:val="22"/>
        </w:rPr>
        <w:t xml:space="preserve">FG 11-2b for </w:t>
      </w:r>
      <w:r w:rsidRPr="00A74D87">
        <w:rPr>
          <w:rFonts w:cs="Arial"/>
          <w:sz w:val="22"/>
          <w:szCs w:val="22"/>
        </w:rPr>
        <w:t xml:space="preserve">separate capabilities for </w:t>
      </w:r>
      <w:r w:rsidRPr="006852E8">
        <w:rPr>
          <w:rFonts w:cs="Arial"/>
          <w:sz w:val="22"/>
          <w:szCs w:val="22"/>
        </w:rPr>
        <w:t>Rel-15 monitoring capability and Rel-16 monitoring capability on different serving cells</w:t>
      </w:r>
      <w:r w:rsidRPr="008B0860">
        <w:rPr>
          <w:rFonts w:cs="Arial"/>
          <w:sz w:val="22"/>
          <w:szCs w:val="22"/>
        </w:rPr>
        <w:t>.</w:t>
      </w:r>
      <w:bookmarkEnd w:id="5"/>
    </w:p>
    <w:p w14:paraId="1FB166E5" w14:textId="0D0251E6" w:rsidR="00A74D87" w:rsidRPr="008B0860" w:rsidRDefault="00A74D87" w:rsidP="00A74D87">
      <w:pPr>
        <w:pStyle w:val="Proposal"/>
        <w:numPr>
          <w:ilvl w:val="0"/>
          <w:numId w:val="35"/>
        </w:numPr>
        <w:tabs>
          <w:tab w:val="clear" w:pos="1304"/>
          <w:tab w:val="num" w:pos="1800"/>
        </w:tabs>
        <w:overflowPunct/>
        <w:autoSpaceDE/>
        <w:autoSpaceDN/>
        <w:adjustRightInd/>
        <w:spacing w:before="240" w:line="256" w:lineRule="auto"/>
        <w:ind w:left="1710" w:hanging="1710"/>
        <w:textAlignment w:val="auto"/>
        <w:rPr>
          <w:rFonts w:cs="Arial"/>
          <w:sz w:val="22"/>
          <w:szCs w:val="22"/>
        </w:rPr>
      </w:pPr>
      <w:bookmarkStart w:id="6" w:name="_Toc40494265"/>
      <w:r w:rsidRPr="008B0860">
        <w:rPr>
          <w:rFonts w:cs="Arial"/>
          <w:sz w:val="22"/>
          <w:szCs w:val="22"/>
        </w:rPr>
        <w:t xml:space="preserve">Do not introduce </w:t>
      </w:r>
      <w:r w:rsidRPr="00A74D87">
        <w:rPr>
          <w:rFonts w:cs="Arial"/>
          <w:sz w:val="22"/>
          <w:szCs w:val="22"/>
        </w:rPr>
        <w:t>separate capabilities for mixed Rel-16 capability with Rel-15 PDCCH monitoring capability FG 3-1, FG 3-2, FG 3-5b on different serving cells</w:t>
      </w:r>
      <w:r w:rsidRPr="008B0860">
        <w:rPr>
          <w:rFonts w:cs="Arial"/>
          <w:sz w:val="22"/>
          <w:szCs w:val="22"/>
        </w:rPr>
        <w:t>.</w:t>
      </w:r>
      <w:bookmarkEnd w:id="6"/>
    </w:p>
    <w:p w14:paraId="0DE0C32D" w14:textId="08C09486" w:rsidR="00A74D87" w:rsidRDefault="00A74D87" w:rsidP="004A3AD4">
      <w:pPr>
        <w:rPr>
          <w:lang w:eastAsia="ko-KR"/>
        </w:rPr>
      </w:pPr>
    </w:p>
    <w:p w14:paraId="12864867" w14:textId="3EF820C3" w:rsidR="00127DB0" w:rsidRDefault="00127DB0" w:rsidP="00127DB0">
      <w:pPr>
        <w:pStyle w:val="Heading2"/>
      </w:pPr>
      <w:r>
        <w:t>2.</w:t>
      </w:r>
      <w:r w:rsidR="000B2612">
        <w:t>3</w:t>
      </w:r>
      <w:r>
        <w:tab/>
      </w:r>
      <w:r>
        <w:rPr>
          <w:rFonts w:eastAsia="Batang"/>
          <w:szCs w:val="32"/>
          <w:lang w:val="en-US" w:eastAsia="ko-KR"/>
        </w:rPr>
        <w:t>FG 11-3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30"/>
        <w:gridCol w:w="7020"/>
      </w:tblGrid>
      <w:tr w:rsidR="00127DB0" w14:paraId="37098319" w14:textId="77777777" w:rsidTr="00450EB7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81CA" w14:textId="77777777" w:rsidR="00127DB0" w:rsidRDefault="00127DB0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11-3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775" w14:textId="77777777" w:rsidR="00127DB0" w:rsidRDefault="00127DB0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More than one PUCCH for HARQ-ACK transmission within a slot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7DC2" w14:textId="0E902CF6" w:rsidR="00127DB0" w:rsidRDefault="00127DB0" w:rsidP="00127DB0">
            <w:pPr>
              <w:pStyle w:val="TAL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Supports sub-slot based HARQ-ACK feedback procedure. </w:t>
            </w:r>
          </w:p>
          <w:p w14:paraId="1277558B" w14:textId="77777777" w:rsidR="00127DB0" w:rsidRDefault="00127DB0" w:rsidP="00686F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• A UL slot consists of a number of sub-slots. No more than one transmitted PUCCH carrying HARQ-ACKs starts in a sub-slot.</w:t>
            </w:r>
          </w:p>
          <w:p w14:paraId="071975B7" w14:textId="77777777" w:rsidR="00127DB0" w:rsidRDefault="00127DB0" w:rsidP="00686F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• At least one sub-slot configuration for PUCCH can be UE specifically configured to a UE. </w:t>
            </w:r>
          </w:p>
          <w:p w14:paraId="76C59424" w14:textId="77777777" w:rsidR="00127DB0" w:rsidRDefault="00127DB0" w:rsidP="00686F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• Supports a single configuration for PUCCH resource for all sub-slots in a slot. The starting symbol of a PUCCH resource is defined with respect to the first symbol of sub-slot. Any sub-slot </w:t>
            </w:r>
            <w:r>
              <w:rPr>
                <w:rFonts w:hint="eastAsia"/>
                <w:lang w:eastAsia="ja-JP"/>
              </w:rPr>
              <w:t>PUCCH resource</w:t>
            </w:r>
            <w:r>
              <w:rPr>
                <w:lang w:eastAsia="ja-JP"/>
              </w:rPr>
              <w:t xml:space="preserve"> is</w:t>
            </w:r>
            <w:r>
              <w:rPr>
                <w:rFonts w:hint="eastAsia"/>
                <w:lang w:eastAsia="ja-JP"/>
              </w:rPr>
              <w:t xml:space="preserve"> not across sub-slot boundar</w:t>
            </w:r>
            <w:r>
              <w:rPr>
                <w:lang w:eastAsia="ja-JP"/>
              </w:rPr>
              <w:t xml:space="preserve">ies. </w:t>
            </w:r>
          </w:p>
          <w:p w14:paraId="14D11ECB" w14:textId="77777777" w:rsidR="00127DB0" w:rsidRDefault="00127DB0" w:rsidP="00686FD7">
            <w:pPr>
              <w:pStyle w:val="TAL"/>
              <w:ind w:left="360" w:hanging="360"/>
              <w:rPr>
                <w:lang w:eastAsia="ja-JP"/>
              </w:rPr>
            </w:pPr>
          </w:p>
          <w:p w14:paraId="35971302" w14:textId="4C1985B9" w:rsidR="00127DB0" w:rsidRDefault="00127DB0" w:rsidP="00127DB0">
            <w:pPr>
              <w:pStyle w:val="TAL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Supported sub-slot configuration</w:t>
            </w:r>
          </w:p>
          <w:p w14:paraId="7FC11594" w14:textId="77777777" w:rsidR="00127DB0" w:rsidRDefault="00127DB0" w:rsidP="00686FD7">
            <w:pPr>
              <w:pStyle w:val="TAL"/>
              <w:ind w:left="360" w:hanging="360"/>
              <w:rPr>
                <w:lang w:eastAsia="ja-JP"/>
              </w:rPr>
            </w:pPr>
          </w:p>
          <w:p w14:paraId="2D65D783" w14:textId="0A2BF86E" w:rsidR="00127DB0" w:rsidRDefault="00127DB0" w:rsidP="00127DB0">
            <w:pPr>
              <w:pStyle w:val="TAL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[Supported combinations of (A, B), where A is the minimum gap between sub-slots containing actual PUCCH transmissions measured from beginning to beginning of the sub-slots, including across slots, and B is the sub-slot duration, with both A and B in units of symbols]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5F0E833D" w14:textId="4ACD9B98" w:rsidR="00127DB0" w:rsidRDefault="00127DB0" w:rsidP="004A3AD4">
      <w:pPr>
        <w:rPr>
          <w:lang w:eastAsia="ko-KR"/>
        </w:rPr>
      </w:pPr>
    </w:p>
    <w:p w14:paraId="4CD6E74A" w14:textId="4E3ADD97" w:rsidR="00127DB0" w:rsidRDefault="00127DB0" w:rsidP="004A3AD4">
      <w:pPr>
        <w:rPr>
          <w:sz w:val="22"/>
        </w:rPr>
      </w:pPr>
      <w:r>
        <w:rPr>
          <w:sz w:val="22"/>
        </w:rPr>
        <w:t xml:space="preserve">Component 3) of feature group 11-3 should not be included. UE performs the sub-slot based HARQ-ACK transmission according to RRC configuration. There has never been any RAN1 agreement about </w:t>
      </w:r>
      <w:r w:rsidR="006221B2">
        <w:rPr>
          <w:sz w:val="22"/>
        </w:rPr>
        <w:t xml:space="preserve">the concept of </w:t>
      </w:r>
      <w:r>
        <w:rPr>
          <w:sz w:val="22"/>
        </w:rPr>
        <w:t>combinations (A, B), and there is no need to introduce such combinations.</w:t>
      </w:r>
    </w:p>
    <w:p w14:paraId="56F3B85F" w14:textId="0A2B50D0" w:rsidR="00127DB0" w:rsidRPr="008B0860" w:rsidRDefault="00127DB0" w:rsidP="00127DB0">
      <w:pPr>
        <w:pStyle w:val="Proposal"/>
        <w:numPr>
          <w:ilvl w:val="0"/>
          <w:numId w:val="35"/>
        </w:numPr>
        <w:tabs>
          <w:tab w:val="clear" w:pos="1304"/>
          <w:tab w:val="num" w:pos="1800"/>
        </w:tabs>
        <w:overflowPunct/>
        <w:autoSpaceDE/>
        <w:autoSpaceDN/>
        <w:adjustRightInd/>
        <w:spacing w:before="240" w:line="256" w:lineRule="auto"/>
        <w:ind w:left="1710" w:hanging="1710"/>
        <w:textAlignment w:val="auto"/>
        <w:rPr>
          <w:rFonts w:cs="Arial"/>
          <w:sz w:val="22"/>
          <w:szCs w:val="22"/>
        </w:rPr>
      </w:pPr>
      <w:bookmarkStart w:id="7" w:name="_Toc40494266"/>
      <w:r>
        <w:rPr>
          <w:rFonts w:cs="Arial"/>
          <w:sz w:val="22"/>
          <w:szCs w:val="22"/>
        </w:rPr>
        <w:t>Delete component 3 of FG 11-3 and the related text in “Note” column</w:t>
      </w:r>
      <w:r w:rsidRPr="008B0860">
        <w:rPr>
          <w:rFonts w:cs="Arial"/>
          <w:sz w:val="22"/>
          <w:szCs w:val="22"/>
        </w:rPr>
        <w:t>.</w:t>
      </w:r>
      <w:bookmarkEnd w:id="7"/>
    </w:p>
    <w:p w14:paraId="6E48AFD0" w14:textId="6FB509F3" w:rsidR="00127DB0" w:rsidRDefault="00127DB0" w:rsidP="004A3AD4">
      <w:pPr>
        <w:rPr>
          <w:lang w:eastAsia="ko-KR"/>
        </w:rPr>
      </w:pPr>
    </w:p>
    <w:p w14:paraId="0F4BB4E1" w14:textId="6666CA1E" w:rsidR="00450EB7" w:rsidRDefault="00450EB7" w:rsidP="004A3AD4">
      <w:pPr>
        <w:rPr>
          <w:lang w:eastAsia="ko-KR"/>
        </w:rPr>
      </w:pPr>
    </w:p>
    <w:p w14:paraId="05DDB97F" w14:textId="35E34D89" w:rsidR="00450EB7" w:rsidRDefault="00450EB7" w:rsidP="00450EB7">
      <w:pPr>
        <w:pStyle w:val="Heading2"/>
        <w:rPr>
          <w:rFonts w:eastAsia="Batang"/>
          <w:szCs w:val="32"/>
          <w:lang w:val="en-US" w:eastAsia="ko-KR"/>
        </w:rPr>
      </w:pPr>
      <w:r>
        <w:lastRenderedPageBreak/>
        <w:t>2.</w:t>
      </w:r>
      <w:r w:rsidR="000B2612">
        <w:t>4</w:t>
      </w:r>
      <w:r>
        <w:tab/>
      </w:r>
      <w:r>
        <w:rPr>
          <w:rFonts w:eastAsia="Batang"/>
          <w:szCs w:val="32"/>
          <w:lang w:val="en-US" w:eastAsia="ko-KR"/>
        </w:rPr>
        <w:t>FG 11-4, 11-4a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30"/>
        <w:gridCol w:w="7020"/>
      </w:tblGrid>
      <w:tr w:rsidR="00450EB7" w14:paraId="18C24C8E" w14:textId="77777777" w:rsidTr="00450EB7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5F9" w14:textId="77777777" w:rsidR="00450EB7" w:rsidRDefault="00450EB7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11-4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4A8" w14:textId="456BF88E" w:rsidR="00450EB7" w:rsidRDefault="00450EB7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Two HARQ-ACK codebooks </w:t>
            </w:r>
            <w:r>
              <w:rPr>
                <w:lang w:eastAsia="ja-JP"/>
              </w:rPr>
              <w:t>with up to one sub-slot based HARQ-ACK codebook (i.e. slot-based + slot-based, or slot-based + sub-slot based)</w:t>
            </w:r>
            <w:r>
              <w:rPr>
                <w:rFonts w:eastAsia="SimSun"/>
                <w:lang w:eastAsia="zh-CN"/>
              </w:rPr>
              <w:t xml:space="preserve"> simultaneously constructed for supporting  HARQ-ACK codebooks with different priorities at a UE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CF8" w14:textId="494F24DC" w:rsidR="00450EB7" w:rsidRDefault="00450EB7" w:rsidP="00450EB7">
            <w:pPr>
              <w:pStyle w:val="TAL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Supports </w:t>
            </w:r>
            <w:r>
              <w:rPr>
                <w:rFonts w:hint="eastAsia"/>
                <w:lang w:eastAsia="ja-JP"/>
              </w:rPr>
              <w:t>two HARQ-ACK codebooks with different priorities to be simultaneously constructed</w:t>
            </w:r>
            <w:r>
              <w:rPr>
                <w:lang w:eastAsia="ja-JP"/>
              </w:rPr>
              <w:t xml:space="preserve"> with the restriction up to one sub-slot based HARQ-ACK codebook.</w:t>
            </w:r>
          </w:p>
          <w:p w14:paraId="7777CB0F" w14:textId="7C45FAAA" w:rsidR="00450EB7" w:rsidRDefault="00450EB7" w:rsidP="00450EB7">
            <w:pPr>
              <w:pStyle w:val="TAL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Supports separate PUCCH configuration for different HARQ-ACK codebooks</w:t>
            </w:r>
          </w:p>
          <w:p w14:paraId="49B5FDE7" w14:textId="23AE376F" w:rsidR="00450EB7" w:rsidRDefault="00450EB7" w:rsidP="00450EB7">
            <w:pPr>
              <w:pStyle w:val="TAL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Supports </w:t>
            </w:r>
            <w:r>
              <w:rPr>
                <w:rFonts w:hint="eastAsia"/>
                <w:lang w:eastAsia="ja-JP"/>
              </w:rPr>
              <w:t>2-level priority of HARQ-ACK for dynamically scheduled PDSCH and SPS PDSCH</w:t>
            </w:r>
            <w:r>
              <w:rPr>
                <w:lang w:eastAsia="ja-JP"/>
              </w:rPr>
              <w:t>.</w:t>
            </w:r>
          </w:p>
          <w:p w14:paraId="65DA5FB5" w14:textId="7AF258D9" w:rsidR="00450EB7" w:rsidRDefault="00450EB7" w:rsidP="00450EB7">
            <w:pPr>
              <w:pStyle w:val="TAL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[Supports a DCI format (from the formats 1_1/1_2) scheduling PDSCH with different HARQ-ACK priorities when only DCI format 0_1/1_1 is configured or only DCI format 0_2/1_2 is configured per BWP]</w:t>
            </w:r>
          </w:p>
          <w:p w14:paraId="059685F6" w14:textId="3E4779BD" w:rsidR="00450EB7" w:rsidRDefault="00450EB7" w:rsidP="00450EB7">
            <w:pPr>
              <w:pStyle w:val="TAL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Supports separate configuration of parameters PDSCH-HARQ-ACK-Codebook, UCI-</w:t>
            </w:r>
            <w:proofErr w:type="spellStart"/>
            <w:r>
              <w:rPr>
                <w:lang w:eastAsia="ja-JP"/>
              </w:rPr>
              <w:t>OnPUSCH</w:t>
            </w:r>
            <w:proofErr w:type="spellEnd"/>
            <w:r>
              <w:rPr>
                <w:lang w:eastAsia="ja-JP"/>
              </w:rPr>
              <w:t xml:space="preserve"> and ‘</w:t>
            </w:r>
            <w:proofErr w:type="spellStart"/>
            <w:r>
              <w:rPr>
                <w:lang w:eastAsia="ja-JP"/>
              </w:rPr>
              <w:t>codeBlockGroupTransmission</w:t>
            </w:r>
            <w:proofErr w:type="spellEnd"/>
            <w:r>
              <w:rPr>
                <w:lang w:eastAsia="ja-JP"/>
              </w:rPr>
              <w:t xml:space="preserve">” for different HARQ-ACK codebooks.   </w:t>
            </w:r>
          </w:p>
          <w:p w14:paraId="7A9DF4B9" w14:textId="571619B5" w:rsidR="00450EB7" w:rsidRDefault="00450EB7" w:rsidP="00450EB7">
            <w:pPr>
              <w:pStyle w:val="TAL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[Supported maximum number of actual PUCCH transmissions for HARQ-ACK within a slot]</w:t>
            </w:r>
          </w:p>
        </w:tc>
      </w:tr>
      <w:tr w:rsidR="00450EB7" w14:paraId="53176E06" w14:textId="77777777" w:rsidTr="00450EB7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9410" w14:textId="05E50AA0" w:rsidR="00450EB7" w:rsidRDefault="00450EB7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1-4a</w:t>
            </w:r>
          </w:p>
          <w:p w14:paraId="17E017A9" w14:textId="77777777" w:rsidR="00450EB7" w:rsidRDefault="00450EB7" w:rsidP="00686FD7">
            <w:pPr>
              <w:pStyle w:val="TAL"/>
              <w:rPr>
                <w:rFonts w:eastAsia="SimSun"/>
                <w:lang w:eastAsia="zh-CN"/>
              </w:rPr>
            </w:pPr>
          </w:p>
          <w:p w14:paraId="0AF86CF7" w14:textId="77777777" w:rsidR="00450EB7" w:rsidRDefault="00450EB7" w:rsidP="00686F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68A" w14:textId="19474E04" w:rsidR="00450EB7" w:rsidRDefault="00450EB7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Two sub-slot based HARQ-ACK codebooks simultaneously constructed for supporting HARQ-ACK codebooks with different priorities at a UE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FC7" w14:textId="5F88A9D2" w:rsidR="00450EB7" w:rsidRDefault="00450EB7" w:rsidP="00450EB7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Supports </w:t>
            </w:r>
            <w:r>
              <w:rPr>
                <w:rFonts w:hint="eastAsia"/>
                <w:lang w:eastAsia="ja-JP"/>
              </w:rPr>
              <w:t>two</w:t>
            </w:r>
            <w:r>
              <w:rPr>
                <w:lang w:eastAsia="ja-JP"/>
              </w:rPr>
              <w:t xml:space="preserve"> sub-slot based </w:t>
            </w:r>
            <w:r>
              <w:rPr>
                <w:rFonts w:hint="eastAsia"/>
                <w:lang w:eastAsia="ja-JP"/>
              </w:rPr>
              <w:t>HARQ-ACK codebooks with different priorities to be simultaneously constructed</w:t>
            </w:r>
            <w:r>
              <w:rPr>
                <w:lang w:eastAsia="ja-JP"/>
              </w:rPr>
              <w:t>.</w:t>
            </w:r>
          </w:p>
          <w:p w14:paraId="2068BB0B" w14:textId="18E7CA3D" w:rsidR="00450EB7" w:rsidRDefault="00450EB7" w:rsidP="00450EB7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Supports separate PUCCH configuration for different HARQ-ACK codebooks</w:t>
            </w:r>
          </w:p>
          <w:p w14:paraId="6CDC5150" w14:textId="0F463DAF" w:rsidR="00450EB7" w:rsidRDefault="00450EB7" w:rsidP="00450EB7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Supports </w:t>
            </w:r>
            <w:r>
              <w:rPr>
                <w:rFonts w:hint="eastAsia"/>
                <w:lang w:eastAsia="ja-JP"/>
              </w:rPr>
              <w:t>2-level priority of HARQ-ACK for dynamically scheduled PDSCH and SPS PDSCH</w:t>
            </w:r>
            <w:r>
              <w:rPr>
                <w:lang w:eastAsia="ja-JP"/>
              </w:rPr>
              <w:t>.</w:t>
            </w:r>
          </w:p>
          <w:p w14:paraId="5B284C5E" w14:textId="14B92CE8" w:rsidR="00450EB7" w:rsidRPr="002A6D47" w:rsidRDefault="00450EB7" w:rsidP="00450EB7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highlight w:val="yellow"/>
                <w:lang w:eastAsia="ja-JP"/>
              </w:rPr>
            </w:pPr>
            <w:r w:rsidRPr="002A6D47">
              <w:rPr>
                <w:highlight w:val="yellow"/>
                <w:lang w:eastAsia="ja-JP"/>
              </w:rPr>
              <w:t xml:space="preserve">[Supports a DCI format (from the formats /1_1/1_2) scheduling PDSCH with different HARQ-ACK priorities  when only DCI format 0_1/1_1 is configured or only DCI format 0_2/1_2 is configured in USS per BWP]  </w:t>
            </w:r>
          </w:p>
          <w:p w14:paraId="340697FA" w14:textId="1EFC7AF4" w:rsidR="00450EB7" w:rsidRDefault="00450EB7" w:rsidP="00450EB7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Supports separate configuration of parameters PDSCH-HARQ-ACK-Codebook, UCI-</w:t>
            </w:r>
            <w:proofErr w:type="spellStart"/>
            <w:r>
              <w:rPr>
                <w:lang w:eastAsia="ja-JP"/>
              </w:rPr>
              <w:t>OnPUSCH</w:t>
            </w:r>
            <w:proofErr w:type="spellEnd"/>
            <w:r>
              <w:rPr>
                <w:lang w:eastAsia="ja-JP"/>
              </w:rPr>
              <w:t xml:space="preserve"> and ‘</w:t>
            </w:r>
            <w:proofErr w:type="spellStart"/>
            <w:r>
              <w:rPr>
                <w:lang w:eastAsia="ja-JP"/>
              </w:rPr>
              <w:t>codeBlockGroupTransmission</w:t>
            </w:r>
            <w:proofErr w:type="spellEnd"/>
            <w:r>
              <w:rPr>
                <w:lang w:eastAsia="ja-JP"/>
              </w:rPr>
              <w:t>” for different HARQ-ACK codebooks.</w:t>
            </w:r>
          </w:p>
          <w:p w14:paraId="7C0125E3" w14:textId="77777777" w:rsidR="00450EB7" w:rsidRDefault="00450EB7" w:rsidP="00450EB7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[Supported maximum number of actual PUCCH transmissions for HARQ-ACK within a slot]</w:t>
            </w:r>
          </w:p>
        </w:tc>
      </w:tr>
    </w:tbl>
    <w:p w14:paraId="1821A25E" w14:textId="77777777" w:rsidR="00450EB7" w:rsidRPr="00450EB7" w:rsidRDefault="00450EB7" w:rsidP="00450EB7">
      <w:pPr>
        <w:rPr>
          <w:lang w:eastAsia="ko-KR"/>
        </w:rPr>
      </w:pPr>
    </w:p>
    <w:p w14:paraId="1064CB73" w14:textId="000C9FF9" w:rsidR="00450EB7" w:rsidRDefault="005010A1" w:rsidP="004A3AD4">
      <w:pPr>
        <w:rPr>
          <w:sz w:val="22"/>
        </w:rPr>
      </w:pPr>
      <w:r>
        <w:rPr>
          <w:sz w:val="22"/>
        </w:rPr>
        <w:t>For FG 11-4 and 11-4a, component 6) (in bracket) should not be introduced. The slot / sub-slot configuration of HARQ-ACK codebook will define the maximum number of PUCCH transmissions for HARQ-ACK within a slot. There is no need to introduce component 6).</w:t>
      </w:r>
    </w:p>
    <w:p w14:paraId="7F61BD43" w14:textId="77777777" w:rsidR="005010A1" w:rsidRPr="00A74D87" w:rsidRDefault="005010A1" w:rsidP="004A3AD4">
      <w:pPr>
        <w:rPr>
          <w:lang w:eastAsia="ko-KR"/>
        </w:rPr>
      </w:pPr>
    </w:p>
    <w:p w14:paraId="3A177472" w14:textId="4F83F577" w:rsidR="005010A1" w:rsidRPr="008B0860" w:rsidRDefault="005010A1" w:rsidP="005010A1">
      <w:pPr>
        <w:pStyle w:val="Proposal"/>
        <w:numPr>
          <w:ilvl w:val="0"/>
          <w:numId w:val="35"/>
        </w:numPr>
        <w:tabs>
          <w:tab w:val="clear" w:pos="1304"/>
          <w:tab w:val="num" w:pos="1800"/>
        </w:tabs>
        <w:overflowPunct/>
        <w:autoSpaceDE/>
        <w:autoSpaceDN/>
        <w:adjustRightInd/>
        <w:spacing w:before="240" w:line="256" w:lineRule="auto"/>
        <w:ind w:left="1710" w:hanging="1710"/>
        <w:textAlignment w:val="auto"/>
        <w:rPr>
          <w:rFonts w:cs="Arial"/>
          <w:sz w:val="22"/>
          <w:szCs w:val="22"/>
        </w:rPr>
      </w:pPr>
      <w:bookmarkStart w:id="8" w:name="_Toc40494267"/>
      <w:r>
        <w:rPr>
          <w:rFonts w:cs="Arial"/>
          <w:sz w:val="22"/>
          <w:szCs w:val="22"/>
        </w:rPr>
        <w:t>For FG 11-4 and 11-4a, do not introduce a component for “</w:t>
      </w:r>
      <w:r w:rsidRPr="005010A1">
        <w:rPr>
          <w:rFonts w:cs="Arial"/>
          <w:sz w:val="22"/>
          <w:szCs w:val="22"/>
        </w:rPr>
        <w:t>Supported maximum number of actual PUCCH transmissions for HARQ-ACK within a slot</w:t>
      </w:r>
      <w:r>
        <w:rPr>
          <w:rFonts w:cs="Arial"/>
          <w:sz w:val="22"/>
          <w:szCs w:val="22"/>
        </w:rPr>
        <w:t>”</w:t>
      </w:r>
      <w:r w:rsidRPr="008B0860">
        <w:rPr>
          <w:rFonts w:cs="Arial"/>
          <w:sz w:val="22"/>
          <w:szCs w:val="22"/>
        </w:rPr>
        <w:t>.</w:t>
      </w:r>
      <w:bookmarkEnd w:id="8"/>
    </w:p>
    <w:p w14:paraId="2680F7AE" w14:textId="39C1CDDD" w:rsidR="00A74D87" w:rsidRDefault="00A74D87" w:rsidP="004A3AD4">
      <w:pPr>
        <w:rPr>
          <w:lang w:eastAsia="ko-KR"/>
        </w:rPr>
      </w:pPr>
    </w:p>
    <w:p w14:paraId="2850DA6C" w14:textId="094ADEF4" w:rsidR="000B2612" w:rsidRDefault="000B2612" w:rsidP="000B2612">
      <w:pPr>
        <w:pStyle w:val="Heading2"/>
        <w:rPr>
          <w:rFonts w:eastAsia="Batang"/>
          <w:szCs w:val="32"/>
          <w:lang w:val="en-US" w:eastAsia="ko-KR"/>
        </w:rPr>
      </w:pPr>
      <w:r>
        <w:t>2.</w:t>
      </w:r>
      <w:r w:rsidR="001E78C5">
        <w:t>6</w:t>
      </w:r>
      <w:r>
        <w:tab/>
      </w:r>
      <w:r>
        <w:rPr>
          <w:rFonts w:eastAsia="Batang"/>
          <w:szCs w:val="32"/>
          <w:lang w:val="en-US" w:eastAsia="ko-KR"/>
        </w:rPr>
        <w:t>FG 11-9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250"/>
        <w:gridCol w:w="7290"/>
      </w:tblGrid>
      <w:tr w:rsidR="000B2612" w14:paraId="7F15A43D" w14:textId="77777777" w:rsidTr="000B2612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FAD5" w14:textId="77777777" w:rsidR="000B2612" w:rsidRDefault="000B2612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11-9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E69" w14:textId="77777777" w:rsidR="000B2612" w:rsidRDefault="000B2612" w:rsidP="00686F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  <w:r>
              <w:rPr>
                <w:rFonts w:eastAsia="SimSun"/>
                <w:lang w:eastAsia="zh-CN"/>
              </w:rPr>
              <w:t>ultiple active configured grant configurations for a BWP of a serving cell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6D87" w14:textId="77777777" w:rsidR="000B2612" w:rsidRDefault="000B2612" w:rsidP="000B2612">
            <w:pPr>
              <w:pStyle w:val="TAL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Supports up to 12 configured/active configured grant configurations in a BWP of a serving cell.</w:t>
            </w:r>
          </w:p>
          <w:p w14:paraId="31F2B467" w14:textId="77777777" w:rsidR="000B2612" w:rsidRDefault="000B2612" w:rsidP="00686FD7">
            <w:pPr>
              <w:pStyle w:val="TAL"/>
              <w:ind w:left="360" w:hanging="360"/>
              <w:rPr>
                <w:lang w:eastAsia="ja-JP"/>
              </w:rPr>
            </w:pPr>
            <w:r>
              <w:rPr>
                <w:lang w:eastAsia="ja-JP"/>
              </w:rPr>
              <w:t>• Separate RRC parameters for different configured grant configurations</w:t>
            </w:r>
          </w:p>
          <w:p w14:paraId="46FF9D86" w14:textId="77777777" w:rsidR="000B2612" w:rsidRDefault="000B2612" w:rsidP="00686FD7">
            <w:pPr>
              <w:pStyle w:val="TAL"/>
              <w:ind w:left="360" w:hanging="360"/>
              <w:rPr>
                <w:lang w:eastAsia="ja-JP"/>
              </w:rPr>
            </w:pPr>
            <w:r>
              <w:rPr>
                <w:lang w:eastAsia="ja-JP"/>
              </w:rPr>
              <w:t>• Separate activation for different configured grant Type 2 configurations</w:t>
            </w:r>
          </w:p>
          <w:p w14:paraId="574AE9CE" w14:textId="77777777" w:rsidR="000B2612" w:rsidRDefault="000B2612" w:rsidP="00686FD7">
            <w:pPr>
              <w:pStyle w:val="TAL"/>
              <w:ind w:left="360" w:hanging="360"/>
              <w:rPr>
                <w:lang w:eastAsia="ja-JP"/>
              </w:rPr>
            </w:pPr>
            <w:r>
              <w:rPr>
                <w:lang w:eastAsia="ja-JP"/>
              </w:rPr>
              <w:t>• Separate release for different configured grant Type 2 configurations</w:t>
            </w:r>
          </w:p>
          <w:p w14:paraId="6FF872A7" w14:textId="77777777" w:rsidR="000B2612" w:rsidRDefault="000B2612" w:rsidP="000B2612">
            <w:pPr>
              <w:pStyle w:val="TAL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[Supported maximum number of configured/active configured grant configurations in a BWP of a serving cell]</w:t>
            </w:r>
          </w:p>
          <w:p w14:paraId="2953634F" w14:textId="77777777" w:rsidR="000B2612" w:rsidRDefault="000B2612" w:rsidP="000B2612">
            <w:pPr>
              <w:pStyle w:val="TAL"/>
              <w:numPr>
                <w:ilvl w:val="0"/>
                <w:numId w:val="39"/>
              </w:num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[Supported maximum number of configured/active configured grant configurations across all serving cells]</w:t>
            </w:r>
            <w:r>
              <w:rPr>
                <w:lang w:eastAsia="ja-JP"/>
              </w:rPr>
              <w:t xml:space="preserve">  </w:t>
            </w:r>
          </w:p>
        </w:tc>
      </w:tr>
    </w:tbl>
    <w:p w14:paraId="07544F86" w14:textId="487B83B2" w:rsidR="000B2612" w:rsidRDefault="000B2612" w:rsidP="004A3AD4">
      <w:pPr>
        <w:rPr>
          <w:lang w:eastAsia="ko-KR"/>
        </w:rPr>
      </w:pPr>
    </w:p>
    <w:p w14:paraId="10C9C914" w14:textId="77777777" w:rsidR="006C72B9" w:rsidRPr="00047260" w:rsidRDefault="006C72B9" w:rsidP="006C72B9">
      <w:pPr>
        <w:pStyle w:val="BodyText"/>
      </w:pPr>
      <w:r w:rsidRPr="00047260">
        <w:t xml:space="preserve">For FG 11-9, there is a question if component 2) and 3) should be introduced. RAN1 has agreed that the maximum number of UL CG configurations per BWP of a serving cell is 12. </w:t>
      </w:r>
      <w:proofErr w:type="gramStart"/>
      <w:r w:rsidRPr="00047260">
        <w:t>Thus</w:t>
      </w:r>
      <w:proofErr w:type="gramEnd"/>
      <w:r w:rsidRPr="00047260">
        <w:t xml:space="preserve"> there is no clear need for the UE to additionally report components 2) and 3).  </w:t>
      </w:r>
    </w:p>
    <w:p w14:paraId="2833C4A1" w14:textId="77777777" w:rsidR="006C72B9" w:rsidRPr="00047260" w:rsidRDefault="006C72B9" w:rsidP="006C72B9">
      <w:pPr>
        <w:pStyle w:val="BodyText"/>
      </w:pPr>
      <w:r w:rsidRPr="00047260">
        <w:lastRenderedPageBreak/>
        <w:t xml:space="preserve">If it’s proven that FG 11-9 requires components 2), then the set of possible values should be limited. For example, for 2), supported </w:t>
      </w:r>
      <w:r w:rsidRPr="00C0751C">
        <w:rPr>
          <w:rFonts w:eastAsia="SimSun"/>
        </w:rPr>
        <w:t>maximum number of configured grant configurations in a BWP of a serving cell</w:t>
      </w:r>
      <w:r w:rsidRPr="00047260">
        <w:rPr>
          <w:rFonts w:eastAsia="SimSun"/>
        </w:rPr>
        <w:t xml:space="preserve"> can be </w:t>
      </w:r>
      <w:r>
        <w:rPr>
          <w:rFonts w:eastAsia="SimSun"/>
        </w:rPr>
        <w:t xml:space="preserve">selected from </w:t>
      </w:r>
      <w:r w:rsidRPr="00047260">
        <w:rPr>
          <w:rFonts w:eastAsia="SimSun"/>
        </w:rPr>
        <w:t>{1, 2, 4, 8, 12}.</w:t>
      </w:r>
    </w:p>
    <w:p w14:paraId="650B2F73" w14:textId="1B120825" w:rsidR="006C72B9" w:rsidRPr="00047260" w:rsidRDefault="006C72B9" w:rsidP="006C72B9">
      <w:pPr>
        <w:pStyle w:val="BodyText"/>
      </w:pPr>
      <w:r w:rsidRPr="00047260">
        <w:t xml:space="preserve">If it’s necessary to introduce component 3), it is reasonable to allow up to twice the number of UL CG configurations per cell group. This is </w:t>
      </w:r>
      <w:proofErr w:type="gramStart"/>
      <w:r w:rsidRPr="00047260">
        <w:t>similar to</w:t>
      </w:r>
      <w:proofErr w:type="gramEnd"/>
      <w:r w:rsidRPr="00047260">
        <w:t xml:space="preserve"> ‘</w:t>
      </w:r>
      <w:proofErr w:type="spellStart"/>
      <w:r w:rsidRPr="00047260">
        <w:rPr>
          <w:rFonts w:cs="Arial"/>
          <w:b/>
          <w:bCs/>
          <w:i/>
          <w:iCs/>
        </w:rPr>
        <w:t>multipleConfiguredGrants</w:t>
      </w:r>
      <w:proofErr w:type="spellEnd"/>
      <w:r w:rsidRPr="00047260">
        <w:t>’ in Rel-15.</w:t>
      </w:r>
      <w:r>
        <w:t xml:space="preserve"> </w:t>
      </w:r>
    </w:p>
    <w:p w14:paraId="79283C3F" w14:textId="77777777" w:rsidR="006C72B9" w:rsidRDefault="006C72B9" w:rsidP="006C72B9">
      <w:pPr>
        <w:pStyle w:val="BodyText"/>
      </w:pPr>
    </w:p>
    <w:p w14:paraId="179C2531" w14:textId="77777777" w:rsidR="006C72B9" w:rsidRPr="00A575C2" w:rsidRDefault="006C72B9" w:rsidP="006C72B9">
      <w:pPr>
        <w:pStyle w:val="Proposal"/>
        <w:overflowPunct/>
        <w:autoSpaceDE/>
        <w:autoSpaceDN/>
        <w:adjustRightInd/>
        <w:textAlignment w:val="auto"/>
      </w:pPr>
      <w:bookmarkStart w:id="9" w:name="_Toc40494268"/>
      <w:r>
        <w:t>Preferably c</w:t>
      </w:r>
      <w:r w:rsidRPr="00A575C2">
        <w:t>omponent 2) and 3) of FG 11-9 are not introduced.</w:t>
      </w:r>
      <w:bookmarkEnd w:id="9"/>
    </w:p>
    <w:p w14:paraId="5C4B7648" w14:textId="77777777" w:rsidR="006C72B9" w:rsidRPr="00A575C2" w:rsidRDefault="006C72B9" w:rsidP="006C72B9">
      <w:pPr>
        <w:pStyle w:val="Proposal"/>
        <w:overflowPunct/>
        <w:autoSpaceDE/>
        <w:autoSpaceDN/>
        <w:adjustRightInd/>
        <w:textAlignment w:val="auto"/>
      </w:pPr>
      <w:bookmarkStart w:id="10" w:name="_Toc40494269"/>
      <w:r w:rsidRPr="00A575C2">
        <w:t xml:space="preserve">If component 2) of FG 11-9 is introduced, the supported </w:t>
      </w:r>
      <w:r w:rsidRPr="00C0751C">
        <w:rPr>
          <w:rFonts w:eastAsia="SimSun"/>
        </w:rPr>
        <w:t>maximum number of configured grant configurations in a BWP of a serving cell</w:t>
      </w:r>
      <w:r w:rsidRPr="00A575C2">
        <w:rPr>
          <w:rFonts w:eastAsia="SimSun"/>
        </w:rPr>
        <w:t xml:space="preserve"> </w:t>
      </w:r>
      <w:r>
        <w:rPr>
          <w:rFonts w:eastAsia="SimSun"/>
        </w:rPr>
        <w:t>is selected from</w:t>
      </w:r>
      <w:r w:rsidRPr="00A575C2">
        <w:rPr>
          <w:rFonts w:eastAsia="SimSun"/>
        </w:rPr>
        <w:t xml:space="preserve"> {1, 2, 4, 8, 12}.</w:t>
      </w:r>
      <w:bookmarkEnd w:id="10"/>
      <w:r w:rsidRPr="00A575C2">
        <w:rPr>
          <w:rFonts w:eastAsia="SimSun"/>
        </w:rPr>
        <w:t xml:space="preserve"> </w:t>
      </w:r>
    </w:p>
    <w:p w14:paraId="56058BCF" w14:textId="77777777" w:rsidR="006C72B9" w:rsidRPr="00A575C2" w:rsidRDefault="006C72B9" w:rsidP="006C72B9">
      <w:pPr>
        <w:pStyle w:val="Proposal"/>
        <w:overflowPunct/>
        <w:autoSpaceDE/>
        <w:autoSpaceDN/>
        <w:adjustRightInd/>
        <w:textAlignment w:val="auto"/>
      </w:pPr>
      <w:bookmarkStart w:id="11" w:name="_Toc40494270"/>
      <w:r w:rsidRPr="00A575C2">
        <w:t xml:space="preserve">If </w:t>
      </w:r>
      <w:r w:rsidRPr="00A575C2">
        <w:rPr>
          <w:rFonts w:eastAsia="SimSun"/>
        </w:rPr>
        <w:t>Component 3) of FG</w:t>
      </w:r>
      <w:r>
        <w:rPr>
          <w:rFonts w:eastAsia="SimSun"/>
        </w:rPr>
        <w:t xml:space="preserve"> 11-9 is introduced, component 3) is updated to: “3) </w:t>
      </w:r>
      <w:r w:rsidRPr="00A575C2">
        <w:rPr>
          <w:rFonts w:eastAsia="SimSun"/>
        </w:rPr>
        <w:t>Supported maximum number of configured grant configurations across all serving cells</w:t>
      </w:r>
      <w:r>
        <w:rPr>
          <w:rFonts w:eastAsia="SimSun"/>
        </w:rPr>
        <w:t xml:space="preserve"> </w:t>
      </w:r>
      <w:r w:rsidRPr="006C72B9">
        <w:rPr>
          <w:rFonts w:eastAsia="SimSun"/>
        </w:rPr>
        <w:t>in a cell group is 24.</w:t>
      </w:r>
      <w:r>
        <w:rPr>
          <w:rFonts w:eastAsia="SimSun"/>
        </w:rPr>
        <w:t>”</w:t>
      </w:r>
      <w:bookmarkEnd w:id="11"/>
    </w:p>
    <w:p w14:paraId="45783076" w14:textId="2EE7EED1" w:rsidR="000B2612" w:rsidRDefault="000B2612" w:rsidP="004A3AD4">
      <w:pPr>
        <w:rPr>
          <w:lang w:eastAsia="ko-KR"/>
        </w:rPr>
      </w:pPr>
    </w:p>
    <w:p w14:paraId="7963E3AE" w14:textId="75BC7D9E" w:rsidR="006E062C" w:rsidRPr="00CE0424" w:rsidRDefault="00B409E0" w:rsidP="00CE0424">
      <w:pPr>
        <w:pStyle w:val="Heading1"/>
      </w:pPr>
      <w:bookmarkStart w:id="12" w:name="_Ref189046994"/>
      <w:bookmarkStart w:id="13" w:name="_GoBack"/>
      <w:bookmarkEnd w:id="13"/>
      <w:r>
        <w:t>3</w:t>
      </w:r>
      <w:r>
        <w:tab/>
      </w:r>
      <w:bookmarkEnd w:id="12"/>
      <w:r w:rsidR="005E3EEF" w:rsidRPr="005F37C3">
        <w:rPr>
          <w:rFonts w:eastAsia="Batang"/>
          <w:sz w:val="32"/>
          <w:szCs w:val="32"/>
          <w:lang w:val="en-US" w:eastAsia="ko-KR"/>
        </w:rPr>
        <w:t>NR_IIOT</w:t>
      </w:r>
    </w:p>
    <w:p w14:paraId="08228060" w14:textId="7E245746" w:rsidR="003B64BB" w:rsidRDefault="003B64BB" w:rsidP="003B64BB">
      <w:pPr>
        <w:pStyle w:val="Heading2"/>
      </w:pPr>
      <w:r>
        <w:t>3.1</w:t>
      </w:r>
      <w:r>
        <w:tab/>
      </w:r>
      <w:r w:rsidR="00DF22E0">
        <w:t xml:space="preserve">FG </w:t>
      </w:r>
      <w:r w:rsidR="001E78C5">
        <w:t>[</w:t>
      </w:r>
      <w:r w:rsidR="00DF22E0">
        <w:t>12-</w:t>
      </w:r>
      <w:r w:rsidR="001E78C5">
        <w:t>1a]</w:t>
      </w:r>
      <w:r w:rsidR="00420556">
        <w:t xml:space="preserve"> and [11-4b]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2790"/>
        <w:gridCol w:w="6390"/>
      </w:tblGrid>
      <w:tr w:rsidR="00420556" w14:paraId="3663C42D" w14:textId="77777777" w:rsidTr="00420556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45FF56" w14:textId="57059EBB" w:rsidR="00420556" w:rsidRDefault="00420556" w:rsidP="00686FD7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highlight w:val="yellow"/>
                <w:lang w:eastAsia="zh-CN"/>
              </w:rPr>
              <w:t>[11-4b]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616195" w14:textId="77777777" w:rsidR="00420556" w:rsidRDefault="00420556" w:rsidP="00686FD7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highlight w:val="yellow"/>
                <w:lang w:eastAsia="zh-CN"/>
              </w:rPr>
              <w:t>[DL priority indication in DCI with mixed DCI formats]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E954B6" w14:textId="72CCC657" w:rsidR="00420556" w:rsidRPr="00420556" w:rsidRDefault="00420556" w:rsidP="00420556">
            <w:pPr>
              <w:pStyle w:val="TAL"/>
              <w:rPr>
                <w:color w:val="000000"/>
                <w:highlight w:val="yellow"/>
                <w:lang w:val="en-US" w:eastAsia="ja-JP"/>
              </w:rPr>
            </w:pPr>
            <w:r>
              <w:rPr>
                <w:color w:val="000000"/>
                <w:highlight w:val="yellow"/>
                <w:lang w:val="en-US" w:eastAsia="ja-JP"/>
              </w:rPr>
              <w:t xml:space="preserve"> </w:t>
            </w:r>
            <w:r>
              <w:rPr>
                <w:rFonts w:hint="eastAsia"/>
                <w:highlight w:val="yellow"/>
                <w:lang w:eastAsia="ja-JP"/>
              </w:rPr>
              <w:t>[</w:t>
            </w:r>
            <w:r>
              <w:rPr>
                <w:highlight w:val="yellow"/>
                <w:lang w:eastAsia="ja-JP"/>
              </w:rPr>
              <w:t>DL priority indication in DCI with mixed DCI formats]</w:t>
            </w:r>
          </w:p>
        </w:tc>
      </w:tr>
      <w:tr w:rsidR="001E78C5" w:rsidRPr="0031657C" w14:paraId="2D6D6B6C" w14:textId="77777777" w:rsidTr="00420556">
        <w:trPr>
          <w:trHeight w:val="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0FF88F" w14:textId="77777777" w:rsidR="001E78C5" w:rsidRPr="0031657C" w:rsidRDefault="001E78C5" w:rsidP="00686FD7">
            <w:pPr>
              <w:pStyle w:val="TAL"/>
              <w:rPr>
                <w:highlight w:val="yellow"/>
                <w:lang w:eastAsia="ja-JP"/>
              </w:rPr>
            </w:pPr>
            <w:r w:rsidRPr="0031657C">
              <w:rPr>
                <w:rFonts w:eastAsia="SimSun"/>
                <w:highlight w:val="yellow"/>
                <w:lang w:eastAsia="zh-CN"/>
              </w:rPr>
              <w:t>[12-1a]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BF6B7B" w14:textId="77777777" w:rsidR="001E78C5" w:rsidRPr="0031657C" w:rsidRDefault="001E78C5" w:rsidP="00686FD7">
            <w:pPr>
              <w:pStyle w:val="TAL"/>
              <w:rPr>
                <w:highlight w:val="yellow"/>
              </w:rPr>
            </w:pPr>
            <w:r w:rsidRPr="0031657C">
              <w:rPr>
                <w:rFonts w:eastAsia="SimSun"/>
                <w:highlight w:val="yellow"/>
                <w:lang w:eastAsia="zh-CN"/>
              </w:rPr>
              <w:t>[</w:t>
            </w:r>
            <w:r w:rsidRPr="0031657C">
              <w:rPr>
                <w:rFonts w:ascii="Times" w:eastAsia="Batang" w:hAnsi="Times"/>
                <w:sz w:val="20"/>
                <w:highlight w:val="yellow"/>
              </w:rPr>
              <w:t>UL priority indication in DCI with mixed DCI formats]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8B05E1" w14:textId="690F21DA" w:rsidR="001E78C5" w:rsidRPr="0031657C" w:rsidRDefault="001E78C5" w:rsidP="00686FD7">
            <w:pPr>
              <w:pStyle w:val="TAL"/>
              <w:rPr>
                <w:highlight w:val="yellow"/>
              </w:rPr>
            </w:pPr>
            <w:r w:rsidRPr="0031657C">
              <w:rPr>
                <w:rFonts w:hint="eastAsia"/>
                <w:color w:val="000000"/>
                <w:highlight w:val="yellow"/>
                <w:lang w:eastAsia="ja-JP"/>
              </w:rPr>
              <w:t>[</w:t>
            </w:r>
            <w:r w:rsidRPr="0031657C">
              <w:rPr>
                <w:rFonts w:ascii="Times" w:eastAsia="Batang" w:hAnsi="Times"/>
                <w:sz w:val="20"/>
                <w:highlight w:val="yellow"/>
              </w:rPr>
              <w:t>UL priority indication in DCI with DCI format</w:t>
            </w:r>
            <w:r>
              <w:rPr>
                <w:rFonts w:ascii="Times" w:eastAsia="Batang" w:hAnsi="Times"/>
                <w:sz w:val="20"/>
                <w:highlight w:val="yellow"/>
              </w:rPr>
              <w:t xml:space="preserve"> 0_1 and 0_2</w:t>
            </w:r>
            <w:r w:rsidRPr="0031657C">
              <w:rPr>
                <w:color w:val="000000"/>
                <w:highlight w:val="yellow"/>
                <w:lang w:eastAsia="ja-JP"/>
              </w:rPr>
              <w:t>]</w:t>
            </w:r>
          </w:p>
        </w:tc>
      </w:tr>
    </w:tbl>
    <w:p w14:paraId="3F27FD59" w14:textId="77C8E750" w:rsidR="001E78C5" w:rsidRDefault="001E78C5" w:rsidP="001E78C5"/>
    <w:p w14:paraId="715EDB4D" w14:textId="1D11A5B9" w:rsidR="001E78C5" w:rsidRDefault="00420556" w:rsidP="006221B2">
      <w:pPr>
        <w:pStyle w:val="BodyText"/>
        <w:rPr>
          <w:rFonts w:eastAsia="SimSun"/>
        </w:rPr>
      </w:pPr>
      <w:r w:rsidRPr="006221B2">
        <w:rPr>
          <w:rFonts w:eastAsia="SimSun"/>
        </w:rPr>
        <w:t xml:space="preserve">Currently FG [12-1a] and [11-4b] are still under discussion in RAN1. If it is eventually agreed that such capability reporting should be introduced, </w:t>
      </w:r>
      <w:proofErr w:type="gramStart"/>
      <w:r w:rsidRPr="006221B2">
        <w:rPr>
          <w:rFonts w:eastAsia="SimSun"/>
        </w:rPr>
        <w:t>these FG</w:t>
      </w:r>
      <w:proofErr w:type="gramEnd"/>
      <w:r w:rsidRPr="006221B2">
        <w:rPr>
          <w:rFonts w:eastAsia="SimSun"/>
        </w:rPr>
        <w:t xml:space="preserve"> should be combined into one under [12-1a]. </w:t>
      </w:r>
    </w:p>
    <w:p w14:paraId="490F5E22" w14:textId="77777777" w:rsidR="006221B2" w:rsidRPr="006221B2" w:rsidRDefault="006221B2" w:rsidP="006221B2">
      <w:pPr>
        <w:pStyle w:val="BodyText"/>
        <w:rPr>
          <w:rFonts w:eastAsia="SimSun"/>
        </w:rPr>
      </w:pPr>
    </w:p>
    <w:p w14:paraId="37B53B93" w14:textId="1E8440C3" w:rsidR="00D53557" w:rsidRDefault="00420556" w:rsidP="00D53557">
      <w:pPr>
        <w:pStyle w:val="Proposal"/>
      </w:pPr>
      <w:bookmarkStart w:id="14" w:name="_Toc40494271"/>
      <w:r>
        <w:t xml:space="preserve">If </w:t>
      </w:r>
      <w:r w:rsidRPr="00420556">
        <w:t>FG [12-1a] and [11-4b]</w:t>
      </w:r>
      <w:r>
        <w:t xml:space="preserve"> are to be introduced, combine them into one FG [12-1a]</w:t>
      </w:r>
      <w:r w:rsidR="00D53557">
        <w:t>.</w:t>
      </w:r>
      <w:bookmarkEnd w:id="14"/>
    </w:p>
    <w:p w14:paraId="0A88A882" w14:textId="66C3EA1F" w:rsidR="00D53557" w:rsidRDefault="00D53557" w:rsidP="00BF40C1">
      <w:pPr>
        <w:pStyle w:val="BodyText"/>
      </w:pPr>
    </w:p>
    <w:p w14:paraId="74D19D7B" w14:textId="6D789591" w:rsidR="00420556" w:rsidRDefault="00420556" w:rsidP="00420556">
      <w:pPr>
        <w:pStyle w:val="Heading2"/>
      </w:pPr>
      <w:r>
        <w:t>3.2</w:t>
      </w:r>
      <w:r>
        <w:tab/>
        <w:t>Other</w:t>
      </w:r>
    </w:p>
    <w:p w14:paraId="04F98E38" w14:textId="139C18CF" w:rsidR="00420556" w:rsidRDefault="00420556" w:rsidP="00BF40C1">
      <w:pPr>
        <w:pStyle w:val="BodyText"/>
      </w:pPr>
      <w:r>
        <w:t xml:space="preserve">Currently, in [2], value for the following columns are put in brackets and still not decided. </w:t>
      </w:r>
    </w:p>
    <w:p w14:paraId="33AC40DE" w14:textId="77777777" w:rsidR="00420556" w:rsidRDefault="00420556" w:rsidP="00420556">
      <w:pPr>
        <w:pStyle w:val="BodyText"/>
        <w:numPr>
          <w:ilvl w:val="0"/>
          <w:numId w:val="42"/>
        </w:numPr>
      </w:pPr>
      <w:r>
        <w:t xml:space="preserve">Type </w:t>
      </w:r>
      <w:proofErr w:type="gramStart"/>
      <w:r>
        <w:t>( 1</w:t>
      </w:r>
      <w:proofErr w:type="gramEnd"/>
      <w:r>
        <w:t>) Per UE or 2) Per Band or 3) Per BC or 4) Per FS or 5) Per FSPC)</w:t>
      </w:r>
      <w:r>
        <w:tab/>
      </w:r>
    </w:p>
    <w:p w14:paraId="4FB90B42" w14:textId="77777777" w:rsidR="00420556" w:rsidRDefault="00420556" w:rsidP="00420556">
      <w:pPr>
        <w:pStyle w:val="BodyText"/>
        <w:numPr>
          <w:ilvl w:val="0"/>
          <w:numId w:val="42"/>
        </w:numPr>
      </w:pPr>
      <w:r>
        <w:t>Need of FDD/TDD differentiation</w:t>
      </w:r>
      <w:r>
        <w:tab/>
      </w:r>
    </w:p>
    <w:p w14:paraId="3C4FF653" w14:textId="77777777" w:rsidR="00420556" w:rsidRDefault="00420556" w:rsidP="00420556">
      <w:pPr>
        <w:pStyle w:val="BodyText"/>
        <w:numPr>
          <w:ilvl w:val="0"/>
          <w:numId w:val="42"/>
        </w:numPr>
      </w:pPr>
      <w:r>
        <w:t>Need of FR1/FR2 differentiation</w:t>
      </w:r>
      <w:r>
        <w:tab/>
      </w:r>
    </w:p>
    <w:p w14:paraId="6755C7F0" w14:textId="08F1B8EC" w:rsidR="00420556" w:rsidRDefault="00420556" w:rsidP="00420556">
      <w:pPr>
        <w:pStyle w:val="BodyText"/>
        <w:numPr>
          <w:ilvl w:val="0"/>
          <w:numId w:val="42"/>
        </w:numPr>
      </w:pPr>
      <w:r>
        <w:t>Capability interpretation for mixture of FDD/TDD and/or FR1/FR2</w:t>
      </w:r>
    </w:p>
    <w:p w14:paraId="3F9820A1" w14:textId="4A28A98A" w:rsidR="00420556" w:rsidRDefault="00420556" w:rsidP="00BF40C1">
      <w:pPr>
        <w:pStyle w:val="BodyText"/>
      </w:pPr>
    </w:p>
    <w:p w14:paraId="14FCDFF0" w14:textId="61BC7D01" w:rsidR="00420556" w:rsidRDefault="00420556" w:rsidP="00BF40C1">
      <w:pPr>
        <w:pStyle w:val="BodyText"/>
      </w:pPr>
      <w:r>
        <w:t>In our view, the brackets should be removed.</w:t>
      </w:r>
    </w:p>
    <w:p w14:paraId="05D5FBD9" w14:textId="25547AAF" w:rsidR="00420556" w:rsidRDefault="00420556" w:rsidP="00420556">
      <w:pPr>
        <w:pStyle w:val="Proposal"/>
      </w:pPr>
      <w:bookmarkStart w:id="15" w:name="_Toc40494272"/>
      <w:r>
        <w:t xml:space="preserve">For </w:t>
      </w:r>
      <w:proofErr w:type="spellStart"/>
      <w:r>
        <w:t>IIoT</w:t>
      </w:r>
      <w:proofErr w:type="spellEnd"/>
      <w:r>
        <w:t xml:space="preserve"> feature groups, set Type to ‘Per UE’.</w:t>
      </w:r>
      <w:bookmarkEnd w:id="15"/>
    </w:p>
    <w:p w14:paraId="34F359F3" w14:textId="15D28CDF" w:rsidR="00420556" w:rsidRDefault="00420556" w:rsidP="00420556">
      <w:pPr>
        <w:pStyle w:val="Proposal"/>
      </w:pPr>
      <w:bookmarkStart w:id="16" w:name="_Toc40494273"/>
      <w:r>
        <w:t xml:space="preserve">For </w:t>
      </w:r>
      <w:proofErr w:type="spellStart"/>
      <w:r>
        <w:t>IIoT</w:t>
      </w:r>
      <w:proofErr w:type="spellEnd"/>
      <w:r>
        <w:t xml:space="preserve"> feature groups, no n</w:t>
      </w:r>
      <w:r w:rsidRPr="000439C4">
        <w:t>eed of FDD/TDD differentiation</w:t>
      </w:r>
      <w:r>
        <w:t>.</w:t>
      </w:r>
      <w:bookmarkEnd w:id="16"/>
    </w:p>
    <w:p w14:paraId="600BA652" w14:textId="43AB9D14" w:rsidR="00420556" w:rsidRDefault="00420556" w:rsidP="00420556">
      <w:pPr>
        <w:pStyle w:val="Proposal"/>
      </w:pPr>
      <w:bookmarkStart w:id="17" w:name="_Toc40494274"/>
      <w:r>
        <w:t xml:space="preserve">For </w:t>
      </w:r>
      <w:proofErr w:type="spellStart"/>
      <w:r>
        <w:t>IIoT</w:t>
      </w:r>
      <w:proofErr w:type="spellEnd"/>
      <w:r>
        <w:t xml:space="preserve"> feature groups, </w:t>
      </w:r>
      <w:r w:rsidR="008F54AA">
        <w:t>no need of FR1/FR2 differentiation.</w:t>
      </w:r>
      <w:bookmarkEnd w:id="17"/>
    </w:p>
    <w:p w14:paraId="29B5D764" w14:textId="39D0993E" w:rsidR="008F54AA" w:rsidRDefault="008F54AA" w:rsidP="00420556">
      <w:pPr>
        <w:pStyle w:val="Proposal"/>
      </w:pPr>
      <w:bookmarkStart w:id="18" w:name="_Toc40494275"/>
      <w:r>
        <w:t xml:space="preserve">For </w:t>
      </w:r>
      <w:proofErr w:type="spellStart"/>
      <w:r>
        <w:t>IIoT</w:t>
      </w:r>
      <w:proofErr w:type="spellEnd"/>
      <w:r>
        <w:t xml:space="preserve"> feature groups, set ‘</w:t>
      </w:r>
      <w:r w:rsidRPr="008F54AA">
        <w:t>Capability interpretation for mixture of FDD/TDD and/or FR1/FR2</w:t>
      </w:r>
      <w:r>
        <w:t>’ to ‘N/A’.</w:t>
      </w:r>
      <w:bookmarkEnd w:id="18"/>
    </w:p>
    <w:p w14:paraId="17147DBC" w14:textId="77777777" w:rsidR="00420556" w:rsidRPr="00CE0424" w:rsidRDefault="00420556" w:rsidP="00BF40C1">
      <w:pPr>
        <w:pStyle w:val="BodyText"/>
      </w:pPr>
    </w:p>
    <w:p w14:paraId="36B9038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FB3932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1106A01" w14:textId="77777777" w:rsidR="006221B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494263" w:history="1">
        <w:r w:rsidR="006221B2" w:rsidRPr="00242122">
          <w:rPr>
            <w:rStyle w:val="Hyperlink"/>
            <w:rFonts w:cs="Arial"/>
            <w:noProof/>
          </w:rPr>
          <w:t>Proposal 1</w:t>
        </w:r>
        <w:r w:rsidR="006221B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6221B2" w:rsidRPr="00242122">
          <w:rPr>
            <w:rStyle w:val="Hyperlink"/>
            <w:rFonts w:cs="Arial"/>
            <w:noProof/>
          </w:rPr>
          <w:t>Do not introduce a new FG beyond FG 12-1 for overlapping PUCCHs carrying HARQ-ACK with different priorities.</w:t>
        </w:r>
      </w:hyperlink>
    </w:p>
    <w:p w14:paraId="6DBF4A74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64" w:history="1">
        <w:r w:rsidRPr="00242122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rFonts w:cs="Arial"/>
            <w:noProof/>
          </w:rPr>
          <w:t>Introduce FG 11-2b for separate capabilities for Rel-15 monitoring capability and Rel-16 monitoring capability on different serving cells.</w:t>
        </w:r>
      </w:hyperlink>
    </w:p>
    <w:p w14:paraId="5E9836C8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65" w:history="1">
        <w:r w:rsidRPr="00242122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rFonts w:cs="Arial"/>
            <w:noProof/>
          </w:rPr>
          <w:t>Do not introduce separate capabilities for mixed Rel-16 capability with Rel-15 PDCCH monitoring capability FG 3-1, FG 3-2, FG 3-5b on different serving cells.</w:t>
        </w:r>
      </w:hyperlink>
    </w:p>
    <w:p w14:paraId="107A7897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66" w:history="1">
        <w:r w:rsidRPr="00242122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rFonts w:cs="Arial"/>
            <w:noProof/>
          </w:rPr>
          <w:t>Delete component 3 of FG 11-3 and the related text in “Note” column.</w:t>
        </w:r>
      </w:hyperlink>
    </w:p>
    <w:p w14:paraId="4570FBD7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67" w:history="1">
        <w:r w:rsidRPr="00242122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rFonts w:cs="Arial"/>
            <w:noProof/>
          </w:rPr>
          <w:t>For FG 11-4 and 11-4a, do not introduce a component for “Supported maximum number of actual PUCCH transmissions for HARQ-ACK within a slot”.</w:t>
        </w:r>
      </w:hyperlink>
    </w:p>
    <w:p w14:paraId="1A7A4FC8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68" w:history="1">
        <w:r w:rsidRPr="00242122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>Preferably component 2) and 3) of FG 11-9 are not introduced.</w:t>
        </w:r>
      </w:hyperlink>
    </w:p>
    <w:p w14:paraId="61537BFA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69" w:history="1">
        <w:r w:rsidRPr="00242122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 xml:space="preserve">If component 2) of FG 11-9 is introduced, the supported </w:t>
        </w:r>
        <w:r w:rsidRPr="00242122">
          <w:rPr>
            <w:rStyle w:val="Hyperlink"/>
            <w:rFonts w:eastAsia="SimSun"/>
            <w:noProof/>
          </w:rPr>
          <w:t>maximum number of configured grant configurations in a BWP of a serving cell is selected from {1, 2, 4, 8, 12}.</w:t>
        </w:r>
      </w:hyperlink>
    </w:p>
    <w:p w14:paraId="5AC81B3B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70" w:history="1">
        <w:r w:rsidRPr="00242122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 xml:space="preserve">If </w:t>
        </w:r>
        <w:r w:rsidRPr="00242122">
          <w:rPr>
            <w:rStyle w:val="Hyperlink"/>
            <w:rFonts w:eastAsia="SimSun"/>
            <w:noProof/>
          </w:rPr>
          <w:t>Component 3) of FG 11-9 is introduced, component 3) is updated to: “3) Supported maximum number of configured grant configurations across all serving cells in a cell group is 24.”</w:t>
        </w:r>
      </w:hyperlink>
    </w:p>
    <w:p w14:paraId="49C99879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71" w:history="1">
        <w:r w:rsidRPr="00242122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>If FG [12-1a] and [11-4b] are to be introduced, combine them into one FG [12-1a].</w:t>
        </w:r>
      </w:hyperlink>
    </w:p>
    <w:p w14:paraId="55EB4554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72" w:history="1">
        <w:r w:rsidRPr="00242122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>For IIoT feature groups, set Type to ‘Per UE’.</w:t>
        </w:r>
      </w:hyperlink>
    </w:p>
    <w:p w14:paraId="3DCF8C85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73" w:history="1">
        <w:r w:rsidRPr="00242122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>For IIoT feature groups, no need of FDD/TDD differentiation.</w:t>
        </w:r>
      </w:hyperlink>
    </w:p>
    <w:p w14:paraId="5E4E9E76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74" w:history="1">
        <w:r w:rsidRPr="00242122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>For IIoT feature groups, no need of FR1/FR2 differentiation.</w:t>
        </w:r>
      </w:hyperlink>
    </w:p>
    <w:p w14:paraId="0921EE09" w14:textId="77777777" w:rsidR="006221B2" w:rsidRDefault="006221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40494275" w:history="1">
        <w:r w:rsidRPr="00242122">
          <w:rPr>
            <w:rStyle w:val="Hyperlink"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242122">
          <w:rPr>
            <w:rStyle w:val="Hyperlink"/>
            <w:noProof/>
          </w:rPr>
          <w:t>For IIoT feature groups, set ‘Capability interpretation for mixture of FDD/TDD and/or FR1/FR2’ to ‘N/A’.</w:t>
        </w:r>
      </w:hyperlink>
    </w:p>
    <w:p w14:paraId="5B2CD728" w14:textId="4EBE996A" w:rsidR="008E065E" w:rsidRPr="00CE0424" w:rsidRDefault="006E1C82" w:rsidP="00EA4A6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9A5459C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4E962F7B" w14:textId="02359533" w:rsidR="00A94C9F" w:rsidRDefault="00A94C9F" w:rsidP="005C604D">
      <w:pPr>
        <w:pStyle w:val="Reference"/>
      </w:pPr>
      <w:bookmarkStart w:id="20" w:name="_Ref174151459"/>
      <w:bookmarkStart w:id="21" w:name="_Ref189809556"/>
      <w:r w:rsidRPr="004240BC">
        <w:t>R1-200</w:t>
      </w:r>
      <w:r>
        <w:t>3199, “</w:t>
      </w:r>
      <w:r>
        <w:rPr>
          <w:rFonts w:eastAsia="Malgun Gothic"/>
          <w:lang w:val="en-US" w:eastAsia="en-US"/>
        </w:rPr>
        <w:t>Summary on email discussion [100b-e-NR-UEFeatures-Remaining] NR_L1enh_URLLC,</w:t>
      </w:r>
      <w:r>
        <w:t xml:space="preserve">” 3GPP RAN1#100bis-e. </w:t>
      </w:r>
    </w:p>
    <w:p w14:paraId="764F7827" w14:textId="2791AD29" w:rsidR="005F3025" w:rsidRDefault="00A94C9F" w:rsidP="005C604D">
      <w:pPr>
        <w:pStyle w:val="Reference"/>
      </w:pPr>
      <w:r>
        <w:t>R1-2003200, “</w:t>
      </w:r>
      <w:r>
        <w:rPr>
          <w:rFonts w:eastAsia="Malgun Gothic"/>
          <w:lang w:val="en-US" w:eastAsia="en-US"/>
        </w:rPr>
        <w:t xml:space="preserve">Summary on email discussion [100b-e-NR-UEFeatures-Remaining] </w:t>
      </w:r>
      <w:proofErr w:type="spellStart"/>
      <w:r>
        <w:rPr>
          <w:rFonts w:eastAsia="Malgun Gothic"/>
          <w:lang w:val="en-US" w:eastAsia="en-US"/>
        </w:rPr>
        <w:t>NR_IIoT</w:t>
      </w:r>
      <w:proofErr w:type="spellEnd"/>
      <w:r>
        <w:rPr>
          <w:rFonts w:eastAsia="Malgun Gothic"/>
          <w:lang w:val="en-US" w:eastAsia="en-US"/>
        </w:rPr>
        <w:t>,</w:t>
      </w:r>
      <w:r>
        <w:t>” 3GPP RAN1#100bis-e</w:t>
      </w:r>
      <w:r w:rsidR="006C4871">
        <w:t>.</w:t>
      </w:r>
    </w:p>
    <w:bookmarkEnd w:id="20"/>
    <w:bookmarkEnd w:id="21"/>
    <w:p w14:paraId="61C15BD7" w14:textId="7C7AA48D" w:rsidR="003A7EF3" w:rsidRDefault="003A7EF3" w:rsidP="00CE0424">
      <w:pPr>
        <w:pStyle w:val="BodyText"/>
      </w:pPr>
    </w:p>
    <w:p w14:paraId="0807AD09" w14:textId="3525681E" w:rsidR="003715DA" w:rsidRDefault="003715DA" w:rsidP="00CE0424">
      <w:pPr>
        <w:pStyle w:val="BodyText"/>
      </w:pPr>
    </w:p>
    <w:p w14:paraId="200702D7" w14:textId="4804C414" w:rsidR="00CB7D97" w:rsidRDefault="00CB7D97" w:rsidP="003715DA">
      <w:pPr>
        <w:pStyle w:val="BodyText"/>
      </w:pPr>
    </w:p>
    <w:p w14:paraId="79E30229" w14:textId="77777777" w:rsidR="00CB7D97" w:rsidRPr="00CE0424" w:rsidRDefault="00CB7D97" w:rsidP="003715DA">
      <w:pPr>
        <w:pStyle w:val="BodyText"/>
      </w:pPr>
    </w:p>
    <w:sectPr w:rsidR="00CB7D97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1E3BD" w14:textId="77777777" w:rsidR="00800B4D" w:rsidRDefault="00800B4D">
      <w:r>
        <w:separator/>
      </w:r>
    </w:p>
  </w:endnote>
  <w:endnote w:type="continuationSeparator" w:id="0">
    <w:p w14:paraId="1B8FBDF5" w14:textId="77777777" w:rsidR="00800B4D" w:rsidRDefault="0080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6CF85" w14:textId="77777777" w:rsidR="00703358" w:rsidRDefault="007033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0272C" w14:textId="77777777" w:rsidR="00800B4D" w:rsidRDefault="00800B4D">
      <w:r>
        <w:separator/>
      </w:r>
    </w:p>
  </w:footnote>
  <w:footnote w:type="continuationSeparator" w:id="0">
    <w:p w14:paraId="42BF321C" w14:textId="77777777" w:rsidR="00800B4D" w:rsidRDefault="00800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DA458" w14:textId="77777777" w:rsidR="00703358" w:rsidRDefault="007033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9304E"/>
    <w:multiLevelType w:val="hybridMultilevel"/>
    <w:tmpl w:val="999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670D26"/>
    <w:multiLevelType w:val="hybridMultilevel"/>
    <w:tmpl w:val="4D0403A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ABA063A"/>
    <w:multiLevelType w:val="hybridMultilevel"/>
    <w:tmpl w:val="55E6B532"/>
    <w:lvl w:ilvl="0" w:tplc="0DBC59A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70738F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481428"/>
    <w:multiLevelType w:val="hybridMultilevel"/>
    <w:tmpl w:val="0D3E74B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853E3"/>
    <w:multiLevelType w:val="multilevel"/>
    <w:tmpl w:val="305853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636072"/>
    <w:multiLevelType w:val="hybridMultilevel"/>
    <w:tmpl w:val="86DAC316"/>
    <w:lvl w:ilvl="0" w:tplc="2E4ED00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B87561"/>
    <w:multiLevelType w:val="multilevel"/>
    <w:tmpl w:val="BAC6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9468A1"/>
    <w:multiLevelType w:val="hybridMultilevel"/>
    <w:tmpl w:val="5574B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61004"/>
    <w:multiLevelType w:val="multilevel"/>
    <w:tmpl w:val="45761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4B0894"/>
    <w:multiLevelType w:val="multilevel"/>
    <w:tmpl w:val="674B0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76A2504"/>
    <w:multiLevelType w:val="hybridMultilevel"/>
    <w:tmpl w:val="A656A6EC"/>
    <w:lvl w:ilvl="0" w:tplc="1CC89B24">
      <w:start w:val="3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color w:val="auto"/>
      </w:rPr>
    </w:lvl>
    <w:lvl w:ilvl="1" w:tplc="E4646A0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BC76E6"/>
    <w:multiLevelType w:val="multilevel"/>
    <w:tmpl w:val="6ABC76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2380F84"/>
    <w:multiLevelType w:val="multilevel"/>
    <w:tmpl w:val="72380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A36392F"/>
    <w:multiLevelType w:val="hybridMultilevel"/>
    <w:tmpl w:val="61FEC83E"/>
    <w:lvl w:ilvl="0" w:tplc="658E8C28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9"/>
  </w:num>
  <w:num w:numId="4">
    <w:abstractNumId w:val="20"/>
  </w:num>
  <w:num w:numId="5">
    <w:abstractNumId w:val="15"/>
  </w:num>
  <w:num w:numId="6">
    <w:abstractNumId w:val="24"/>
  </w:num>
  <w:num w:numId="7">
    <w:abstractNumId w:val="30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1"/>
  </w:num>
  <w:num w:numId="17">
    <w:abstractNumId w:val="9"/>
  </w:num>
  <w:num w:numId="18">
    <w:abstractNumId w:val="11"/>
  </w:num>
  <w:num w:numId="19">
    <w:abstractNumId w:val="6"/>
  </w:num>
  <w:num w:numId="20">
    <w:abstractNumId w:val="38"/>
  </w:num>
  <w:num w:numId="21">
    <w:abstractNumId w:val="17"/>
  </w:num>
  <w:num w:numId="22">
    <w:abstractNumId w:val="36"/>
  </w:num>
  <w:num w:numId="23">
    <w:abstractNumId w:val="18"/>
  </w:num>
  <w:num w:numId="24">
    <w:abstractNumId w:val="5"/>
  </w:num>
  <w:num w:numId="25">
    <w:abstractNumId w:val="40"/>
  </w:num>
  <w:num w:numId="26">
    <w:abstractNumId w:val="7"/>
  </w:num>
  <w:num w:numId="2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3"/>
  </w:num>
  <w:num w:numId="30">
    <w:abstractNumId w:val="34"/>
  </w:num>
  <w:num w:numId="31">
    <w:abstractNumId w:val="3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1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37"/>
  </w:num>
  <w:num w:numId="38">
    <w:abstractNumId w:val="14"/>
  </w:num>
  <w:num w:numId="39">
    <w:abstractNumId w:val="26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2A37"/>
    <w:rsid w:val="00003CEB"/>
    <w:rsid w:val="0000564C"/>
    <w:rsid w:val="00006446"/>
    <w:rsid w:val="00006896"/>
    <w:rsid w:val="00007CDC"/>
    <w:rsid w:val="0001080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56C"/>
    <w:rsid w:val="00047260"/>
    <w:rsid w:val="0005011E"/>
    <w:rsid w:val="00052A07"/>
    <w:rsid w:val="000534E3"/>
    <w:rsid w:val="0005606A"/>
    <w:rsid w:val="00057117"/>
    <w:rsid w:val="000616E7"/>
    <w:rsid w:val="0006487E"/>
    <w:rsid w:val="0006489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612"/>
    <w:rsid w:val="000B2719"/>
    <w:rsid w:val="000B3A8F"/>
    <w:rsid w:val="000B3ADC"/>
    <w:rsid w:val="000B4AB9"/>
    <w:rsid w:val="000B58C3"/>
    <w:rsid w:val="000B61E9"/>
    <w:rsid w:val="000C165A"/>
    <w:rsid w:val="000C2E19"/>
    <w:rsid w:val="000D0D07"/>
    <w:rsid w:val="000D4797"/>
    <w:rsid w:val="000D62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F43"/>
    <w:rsid w:val="00124314"/>
    <w:rsid w:val="00126B4A"/>
    <w:rsid w:val="00127D7D"/>
    <w:rsid w:val="00127DB0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1BA"/>
    <w:rsid w:val="001C3D2A"/>
    <w:rsid w:val="001D51BA"/>
    <w:rsid w:val="001D53E7"/>
    <w:rsid w:val="001D6342"/>
    <w:rsid w:val="001D6D53"/>
    <w:rsid w:val="001E58E2"/>
    <w:rsid w:val="001E78C5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94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0F5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813"/>
    <w:rsid w:val="00331751"/>
    <w:rsid w:val="00334579"/>
    <w:rsid w:val="00335858"/>
    <w:rsid w:val="00336BDA"/>
    <w:rsid w:val="00342BD7"/>
    <w:rsid w:val="00346DB5"/>
    <w:rsid w:val="003477B1"/>
    <w:rsid w:val="00352896"/>
    <w:rsid w:val="00357380"/>
    <w:rsid w:val="003602D9"/>
    <w:rsid w:val="003604CE"/>
    <w:rsid w:val="00370E47"/>
    <w:rsid w:val="003715D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A28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556"/>
    <w:rsid w:val="00421105"/>
    <w:rsid w:val="00422AA4"/>
    <w:rsid w:val="004240BC"/>
    <w:rsid w:val="004242F4"/>
    <w:rsid w:val="00427248"/>
    <w:rsid w:val="00437447"/>
    <w:rsid w:val="00441A92"/>
    <w:rsid w:val="004431DC"/>
    <w:rsid w:val="00444F56"/>
    <w:rsid w:val="00446488"/>
    <w:rsid w:val="00450EB7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47FD"/>
    <w:rsid w:val="0047546E"/>
    <w:rsid w:val="0047556B"/>
    <w:rsid w:val="00477768"/>
    <w:rsid w:val="00492BC5"/>
    <w:rsid w:val="004964F1"/>
    <w:rsid w:val="004A16BC"/>
    <w:rsid w:val="004A2B94"/>
    <w:rsid w:val="004A3AD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0A1"/>
    <w:rsid w:val="00506557"/>
    <w:rsid w:val="0050677A"/>
    <w:rsid w:val="005108D8"/>
    <w:rsid w:val="005116F9"/>
    <w:rsid w:val="005153A7"/>
    <w:rsid w:val="005219CF"/>
    <w:rsid w:val="0053359F"/>
    <w:rsid w:val="00534B59"/>
    <w:rsid w:val="00536759"/>
    <w:rsid w:val="00537C62"/>
    <w:rsid w:val="00546970"/>
    <w:rsid w:val="00554E19"/>
    <w:rsid w:val="0056121F"/>
    <w:rsid w:val="00572505"/>
    <w:rsid w:val="005741F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3EEF"/>
    <w:rsid w:val="005E5B81"/>
    <w:rsid w:val="005F2CB1"/>
    <w:rsid w:val="005F3025"/>
    <w:rsid w:val="005F544E"/>
    <w:rsid w:val="005F618C"/>
    <w:rsid w:val="005F70BD"/>
    <w:rsid w:val="0060283C"/>
    <w:rsid w:val="00604F14"/>
    <w:rsid w:val="00611B83"/>
    <w:rsid w:val="00613257"/>
    <w:rsid w:val="00620A71"/>
    <w:rsid w:val="00620D80"/>
    <w:rsid w:val="006221B2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2E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56"/>
    <w:rsid w:val="006C03B8"/>
    <w:rsid w:val="006C4871"/>
    <w:rsid w:val="006C5EC9"/>
    <w:rsid w:val="006C6059"/>
    <w:rsid w:val="006C72B9"/>
    <w:rsid w:val="006C7522"/>
    <w:rsid w:val="006D4C7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358"/>
    <w:rsid w:val="0070346E"/>
    <w:rsid w:val="00704EDB"/>
    <w:rsid w:val="00706101"/>
    <w:rsid w:val="00707072"/>
    <w:rsid w:val="00707D61"/>
    <w:rsid w:val="00712287"/>
    <w:rsid w:val="00712772"/>
    <w:rsid w:val="00713C28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C8A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B4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046"/>
    <w:rsid w:val="008602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860"/>
    <w:rsid w:val="008B120C"/>
    <w:rsid w:val="008B21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4A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84A"/>
    <w:rsid w:val="00920BF2"/>
    <w:rsid w:val="00922010"/>
    <w:rsid w:val="00931BD9"/>
    <w:rsid w:val="00935737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0FF"/>
    <w:rsid w:val="00980477"/>
    <w:rsid w:val="00985253"/>
    <w:rsid w:val="009853B3"/>
    <w:rsid w:val="009865DA"/>
    <w:rsid w:val="00990630"/>
    <w:rsid w:val="009908DA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FC9"/>
    <w:rsid w:val="00A031D8"/>
    <w:rsid w:val="00A048A8"/>
    <w:rsid w:val="00A04F49"/>
    <w:rsid w:val="00A052E3"/>
    <w:rsid w:val="00A13E54"/>
    <w:rsid w:val="00A15E08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C2"/>
    <w:rsid w:val="00A61499"/>
    <w:rsid w:val="00A62A77"/>
    <w:rsid w:val="00A63483"/>
    <w:rsid w:val="00A657D7"/>
    <w:rsid w:val="00A660AC"/>
    <w:rsid w:val="00A67E6C"/>
    <w:rsid w:val="00A71B99"/>
    <w:rsid w:val="00A739D0"/>
    <w:rsid w:val="00A74D87"/>
    <w:rsid w:val="00A761D4"/>
    <w:rsid w:val="00A77EC4"/>
    <w:rsid w:val="00A92879"/>
    <w:rsid w:val="00A9442A"/>
    <w:rsid w:val="00A94C9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E5071"/>
    <w:rsid w:val="00AF1C5D"/>
    <w:rsid w:val="00AF42D7"/>
    <w:rsid w:val="00AF5552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EFE"/>
    <w:rsid w:val="00B664C7"/>
    <w:rsid w:val="00B739F6"/>
    <w:rsid w:val="00B81A6C"/>
    <w:rsid w:val="00B85DE5"/>
    <w:rsid w:val="00B87F10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165"/>
    <w:rsid w:val="00BD48AC"/>
    <w:rsid w:val="00BD5F1A"/>
    <w:rsid w:val="00BE1234"/>
    <w:rsid w:val="00BE2FA6"/>
    <w:rsid w:val="00BE333F"/>
    <w:rsid w:val="00BE7406"/>
    <w:rsid w:val="00BE7603"/>
    <w:rsid w:val="00BF3279"/>
    <w:rsid w:val="00BF40C1"/>
    <w:rsid w:val="00BF74C7"/>
    <w:rsid w:val="00C015F1"/>
    <w:rsid w:val="00C01F33"/>
    <w:rsid w:val="00C02CC6"/>
    <w:rsid w:val="00C040F7"/>
    <w:rsid w:val="00C044AB"/>
    <w:rsid w:val="00C05706"/>
    <w:rsid w:val="00C07377"/>
    <w:rsid w:val="00C0751C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129"/>
    <w:rsid w:val="00C8144D"/>
    <w:rsid w:val="00C81568"/>
    <w:rsid w:val="00C868DA"/>
    <w:rsid w:val="00C9027A"/>
    <w:rsid w:val="00C9068E"/>
    <w:rsid w:val="00C93814"/>
    <w:rsid w:val="00C93C4B"/>
    <w:rsid w:val="00C944AB"/>
    <w:rsid w:val="00C95510"/>
    <w:rsid w:val="00C95B40"/>
    <w:rsid w:val="00CA1ED8"/>
    <w:rsid w:val="00CB1F63"/>
    <w:rsid w:val="00CB7170"/>
    <w:rsid w:val="00CB7D97"/>
    <w:rsid w:val="00CC040E"/>
    <w:rsid w:val="00CC111F"/>
    <w:rsid w:val="00CC2011"/>
    <w:rsid w:val="00CC3EA0"/>
    <w:rsid w:val="00CC765E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3557"/>
    <w:rsid w:val="00D546FF"/>
    <w:rsid w:val="00D55AD5"/>
    <w:rsid w:val="00D56E6E"/>
    <w:rsid w:val="00D576CA"/>
    <w:rsid w:val="00D6198B"/>
    <w:rsid w:val="00D61AF5"/>
    <w:rsid w:val="00D652B5"/>
    <w:rsid w:val="00D66155"/>
    <w:rsid w:val="00D708B0"/>
    <w:rsid w:val="00D75C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4E9"/>
    <w:rsid w:val="00DA305E"/>
    <w:rsid w:val="00DA5417"/>
    <w:rsid w:val="00DA56E8"/>
    <w:rsid w:val="00DB0A9F"/>
    <w:rsid w:val="00DB377D"/>
    <w:rsid w:val="00DB3CA7"/>
    <w:rsid w:val="00DC2D36"/>
    <w:rsid w:val="00DC53EF"/>
    <w:rsid w:val="00DC7A5E"/>
    <w:rsid w:val="00DE5608"/>
    <w:rsid w:val="00DE58D0"/>
    <w:rsid w:val="00DE654F"/>
    <w:rsid w:val="00DF0B6E"/>
    <w:rsid w:val="00DF15E0"/>
    <w:rsid w:val="00DF22E0"/>
    <w:rsid w:val="00DF37A0"/>
    <w:rsid w:val="00E06C8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0A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60"/>
    <w:rsid w:val="00EA7A41"/>
    <w:rsid w:val="00EB077B"/>
    <w:rsid w:val="00EB4EA2"/>
    <w:rsid w:val="00EB5CA8"/>
    <w:rsid w:val="00EC24D5"/>
    <w:rsid w:val="00EC27C6"/>
    <w:rsid w:val="00EC4207"/>
    <w:rsid w:val="00EC5653"/>
    <w:rsid w:val="00EC71CE"/>
    <w:rsid w:val="00ED1006"/>
    <w:rsid w:val="00EF18FE"/>
    <w:rsid w:val="00EF56B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3D9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B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DB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55C55"/>
  <w15:chartTrackingRefBased/>
  <w15:docId w15:val="{19C143D6-8582-4426-A59C-5FB1B3AB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741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5741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74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741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41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741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41F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741F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41F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41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41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41F9"/>
  </w:style>
  <w:style w:type="paragraph" w:styleId="TOC8">
    <w:name w:val="toc 8"/>
    <w:basedOn w:val="TOC1"/>
    <w:uiPriority w:val="39"/>
    <w:rsid w:val="005741F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741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5741F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741F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5741F9"/>
    <w:pPr>
      <w:ind w:left="1701" w:hanging="1701"/>
    </w:pPr>
  </w:style>
  <w:style w:type="paragraph" w:styleId="TOC4">
    <w:name w:val="toc 4"/>
    <w:basedOn w:val="TOC3"/>
    <w:uiPriority w:val="39"/>
    <w:rsid w:val="005741F9"/>
    <w:pPr>
      <w:ind w:left="1418" w:hanging="1418"/>
    </w:pPr>
  </w:style>
  <w:style w:type="paragraph" w:styleId="TOC3">
    <w:name w:val="toc 3"/>
    <w:basedOn w:val="TOC2"/>
    <w:uiPriority w:val="39"/>
    <w:rsid w:val="005741F9"/>
    <w:pPr>
      <w:ind w:left="1134" w:hanging="1134"/>
    </w:pPr>
  </w:style>
  <w:style w:type="paragraph" w:styleId="TOC2">
    <w:name w:val="toc 2"/>
    <w:basedOn w:val="TOC1"/>
    <w:uiPriority w:val="39"/>
    <w:rsid w:val="005741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741F9"/>
    <w:pPr>
      <w:ind w:left="284"/>
    </w:pPr>
  </w:style>
  <w:style w:type="paragraph" w:styleId="Index1">
    <w:name w:val="index 1"/>
    <w:basedOn w:val="Normal"/>
    <w:rsid w:val="005741F9"/>
    <w:pPr>
      <w:keepLines/>
      <w:spacing w:after="0"/>
    </w:pPr>
  </w:style>
  <w:style w:type="paragraph" w:styleId="DocumentMap">
    <w:name w:val="Document Map"/>
    <w:basedOn w:val="Normal"/>
    <w:link w:val="DocumentMapChar"/>
    <w:rsid w:val="005741F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741F9"/>
    <w:pPr>
      <w:numPr>
        <w:numId w:val="22"/>
      </w:numPr>
    </w:pPr>
  </w:style>
  <w:style w:type="paragraph" w:styleId="ListNumber">
    <w:name w:val="List Number"/>
    <w:basedOn w:val="List"/>
    <w:rsid w:val="005741F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5741F9"/>
    <w:pPr>
      <w:ind w:left="568" w:hanging="284"/>
    </w:pPr>
  </w:style>
  <w:style w:type="paragraph" w:styleId="Header">
    <w:name w:val="header"/>
    <w:link w:val="HeaderChar"/>
    <w:rsid w:val="005741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5741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741F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5741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5741F9"/>
    <w:pPr>
      <w:ind w:left="1418" w:hanging="1418"/>
    </w:pPr>
  </w:style>
  <w:style w:type="paragraph" w:styleId="TOC6">
    <w:name w:val="toc 6"/>
    <w:basedOn w:val="TOC5"/>
    <w:next w:val="Normal"/>
    <w:uiPriority w:val="39"/>
    <w:rsid w:val="005741F9"/>
    <w:pPr>
      <w:ind w:left="1985" w:hanging="1985"/>
    </w:pPr>
  </w:style>
  <w:style w:type="paragraph" w:styleId="TOC7">
    <w:name w:val="toc 7"/>
    <w:basedOn w:val="TOC6"/>
    <w:next w:val="Normal"/>
    <w:uiPriority w:val="39"/>
    <w:rsid w:val="005741F9"/>
    <w:pPr>
      <w:ind w:left="2268" w:hanging="2268"/>
    </w:pPr>
  </w:style>
  <w:style w:type="paragraph" w:styleId="ListBullet2">
    <w:name w:val="List Bullet 2"/>
    <w:basedOn w:val="ListBullet"/>
    <w:rsid w:val="005741F9"/>
    <w:pPr>
      <w:numPr>
        <w:numId w:val="17"/>
      </w:numPr>
    </w:pPr>
  </w:style>
  <w:style w:type="paragraph" w:styleId="ListBullet">
    <w:name w:val="List Bullet"/>
    <w:basedOn w:val="List"/>
    <w:rsid w:val="005741F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5741F9"/>
    <w:pPr>
      <w:numPr>
        <w:numId w:val="18"/>
      </w:numPr>
    </w:pPr>
  </w:style>
  <w:style w:type="paragraph" w:customStyle="1" w:styleId="EQ">
    <w:name w:val="EQ"/>
    <w:basedOn w:val="Normal"/>
    <w:next w:val="Normal"/>
    <w:rsid w:val="005741F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741F9"/>
    <w:pPr>
      <w:ind w:left="851"/>
    </w:pPr>
    <w:rPr>
      <w:lang w:eastAsia="ja-JP"/>
    </w:rPr>
  </w:style>
  <w:style w:type="paragraph" w:styleId="List3">
    <w:name w:val="List 3"/>
    <w:basedOn w:val="List2"/>
    <w:rsid w:val="005741F9"/>
    <w:pPr>
      <w:ind w:left="1135"/>
    </w:pPr>
  </w:style>
  <w:style w:type="paragraph" w:styleId="List4">
    <w:name w:val="List 4"/>
    <w:basedOn w:val="List3"/>
    <w:rsid w:val="005741F9"/>
    <w:pPr>
      <w:ind w:left="1418"/>
    </w:pPr>
  </w:style>
  <w:style w:type="paragraph" w:styleId="List5">
    <w:name w:val="List 5"/>
    <w:basedOn w:val="List4"/>
    <w:rsid w:val="005741F9"/>
    <w:pPr>
      <w:ind w:left="1702"/>
    </w:pPr>
  </w:style>
  <w:style w:type="paragraph" w:customStyle="1" w:styleId="EditorsNote">
    <w:name w:val="Editor's Note"/>
    <w:basedOn w:val="NO"/>
    <w:link w:val="EditorsNoteChar"/>
    <w:rsid w:val="005741F9"/>
    <w:rPr>
      <w:color w:val="FF0000"/>
      <w:lang w:val="x-none" w:eastAsia="x-none"/>
    </w:rPr>
  </w:style>
  <w:style w:type="paragraph" w:styleId="ListBullet4">
    <w:name w:val="List Bullet 4"/>
    <w:basedOn w:val="ListBullet3"/>
    <w:rsid w:val="005741F9"/>
    <w:pPr>
      <w:numPr>
        <w:numId w:val="19"/>
      </w:numPr>
    </w:pPr>
  </w:style>
  <w:style w:type="paragraph" w:styleId="ListBullet5">
    <w:name w:val="List Bullet 5"/>
    <w:basedOn w:val="ListBullet4"/>
    <w:rsid w:val="005741F9"/>
    <w:pPr>
      <w:numPr>
        <w:numId w:val="20"/>
      </w:numPr>
    </w:pPr>
  </w:style>
  <w:style w:type="paragraph" w:styleId="Footer">
    <w:name w:val="footer"/>
    <w:basedOn w:val="Header"/>
    <w:link w:val="FooterChar"/>
    <w:rsid w:val="005741F9"/>
    <w:pPr>
      <w:jc w:val="center"/>
    </w:pPr>
    <w:rPr>
      <w:i/>
    </w:rPr>
  </w:style>
  <w:style w:type="paragraph" w:customStyle="1" w:styleId="Reference">
    <w:name w:val="Reference"/>
    <w:basedOn w:val="BodyText"/>
    <w:rsid w:val="005741F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5741F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5741F9"/>
  </w:style>
  <w:style w:type="paragraph" w:styleId="BodyText">
    <w:name w:val="Body Text"/>
    <w:basedOn w:val="Normal"/>
    <w:link w:val="BodyTextChar"/>
    <w:rsid w:val="005741F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5741F9"/>
    <w:rPr>
      <w:color w:val="0000FF"/>
      <w:u w:val="single"/>
    </w:rPr>
  </w:style>
  <w:style w:type="character" w:styleId="FollowedHyperlink">
    <w:name w:val="FollowedHyperlink"/>
    <w:unhideWhenUsed/>
    <w:rsid w:val="005741F9"/>
    <w:rPr>
      <w:color w:val="800080"/>
      <w:u w:val="single"/>
    </w:rPr>
  </w:style>
  <w:style w:type="character" w:styleId="CommentReference">
    <w:name w:val="annotation reference"/>
    <w:uiPriority w:val="99"/>
    <w:qFormat/>
    <w:rsid w:val="005741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741F9"/>
  </w:style>
  <w:style w:type="paragraph" w:styleId="CommentSubject">
    <w:name w:val="annotation subject"/>
    <w:basedOn w:val="CommentText"/>
    <w:next w:val="CommentText"/>
    <w:link w:val="CommentSubjectChar"/>
    <w:rsid w:val="005741F9"/>
    <w:rPr>
      <w:b/>
      <w:bCs/>
    </w:rPr>
  </w:style>
  <w:style w:type="character" w:customStyle="1" w:styleId="Heading1Char">
    <w:name w:val="Heading 1 Char"/>
    <w:link w:val="Heading1"/>
    <w:rsid w:val="005741F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5741F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5741F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5741F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5741F9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741F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741F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5741F9"/>
    <w:rPr>
      <w:rFonts w:ascii="Times New Roman" w:hAnsi="Times New Roman"/>
    </w:rPr>
  </w:style>
  <w:style w:type="paragraph" w:customStyle="1" w:styleId="EX">
    <w:name w:val="EX"/>
    <w:basedOn w:val="Normal"/>
    <w:rsid w:val="005741F9"/>
    <w:pPr>
      <w:keepLines/>
      <w:ind w:left="1702" w:hanging="1418"/>
    </w:pPr>
  </w:style>
  <w:style w:type="paragraph" w:customStyle="1" w:styleId="EW">
    <w:name w:val="EW"/>
    <w:basedOn w:val="EX"/>
    <w:rsid w:val="005741F9"/>
    <w:pPr>
      <w:spacing w:after="0"/>
    </w:pPr>
  </w:style>
  <w:style w:type="paragraph" w:customStyle="1" w:styleId="TAL">
    <w:name w:val="TAL"/>
    <w:basedOn w:val="Normal"/>
    <w:link w:val="TALCar"/>
    <w:qFormat/>
    <w:rsid w:val="005741F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5741F9"/>
    <w:pPr>
      <w:jc w:val="center"/>
    </w:pPr>
  </w:style>
  <w:style w:type="paragraph" w:customStyle="1" w:styleId="TAH">
    <w:name w:val="TAH"/>
    <w:basedOn w:val="TAC"/>
    <w:link w:val="TAHCar"/>
    <w:qFormat/>
    <w:rsid w:val="005741F9"/>
    <w:rPr>
      <w:b/>
    </w:rPr>
  </w:style>
  <w:style w:type="paragraph" w:customStyle="1" w:styleId="TAN">
    <w:name w:val="TAN"/>
    <w:basedOn w:val="TAL"/>
    <w:rsid w:val="005741F9"/>
    <w:pPr>
      <w:ind w:left="851" w:hanging="851"/>
    </w:pPr>
  </w:style>
  <w:style w:type="paragraph" w:customStyle="1" w:styleId="TAR">
    <w:name w:val="TAR"/>
    <w:basedOn w:val="TAL"/>
    <w:rsid w:val="005741F9"/>
    <w:pPr>
      <w:jc w:val="right"/>
    </w:pPr>
  </w:style>
  <w:style w:type="paragraph" w:customStyle="1" w:styleId="TH">
    <w:name w:val="TH"/>
    <w:basedOn w:val="Normal"/>
    <w:link w:val="THChar"/>
    <w:rsid w:val="005741F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5741F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741F9"/>
    <w:pPr>
      <w:outlineLvl w:val="9"/>
    </w:pPr>
  </w:style>
  <w:style w:type="paragraph" w:customStyle="1" w:styleId="ZA">
    <w:name w:val="ZA"/>
    <w:rsid w:val="00574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41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41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5741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5741F9"/>
  </w:style>
  <w:style w:type="paragraph" w:customStyle="1" w:styleId="ZH">
    <w:name w:val="ZH"/>
    <w:rsid w:val="005741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5741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5741F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741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41F9"/>
    <w:pPr>
      <w:framePr w:wrap="notBeside" w:y="16161"/>
    </w:pPr>
  </w:style>
  <w:style w:type="paragraph" w:customStyle="1" w:styleId="FP">
    <w:name w:val="FP"/>
    <w:basedOn w:val="Normal"/>
    <w:rsid w:val="005741F9"/>
    <w:pPr>
      <w:spacing w:after="0"/>
    </w:pPr>
  </w:style>
  <w:style w:type="paragraph" w:customStyle="1" w:styleId="Observation">
    <w:name w:val="Observation"/>
    <w:basedOn w:val="Proposal"/>
    <w:qFormat/>
    <w:rsid w:val="005741F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741F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5741F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5741F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5741F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5741F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5741F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5741F9"/>
    <w:pPr>
      <w:ind w:left="1985"/>
    </w:pPr>
  </w:style>
  <w:style w:type="character" w:customStyle="1" w:styleId="B6Char">
    <w:name w:val="B6 Char"/>
    <w:link w:val="B6"/>
    <w:rsid w:val="005741F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5741F9"/>
    <w:pPr>
      <w:ind w:left="2269"/>
    </w:pPr>
  </w:style>
  <w:style w:type="character" w:customStyle="1" w:styleId="B7Char">
    <w:name w:val="B7 Char"/>
    <w:basedOn w:val="B6Char"/>
    <w:link w:val="B7"/>
    <w:rsid w:val="005741F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5741F9"/>
    <w:pPr>
      <w:ind w:left="2552"/>
    </w:pPr>
  </w:style>
  <w:style w:type="character" w:customStyle="1" w:styleId="BalloonTextChar">
    <w:name w:val="Balloon Text Char"/>
    <w:link w:val="BalloonText"/>
    <w:rsid w:val="005741F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5741F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5741F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5741F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5741F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741F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5741F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5741F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5741F9"/>
    <w:pPr>
      <w:keepLines/>
      <w:ind w:left="1135" w:hanging="851"/>
    </w:pPr>
  </w:style>
  <w:style w:type="character" w:customStyle="1" w:styleId="NOChar">
    <w:name w:val="NO Char"/>
    <w:link w:val="NO"/>
    <w:qFormat/>
    <w:rsid w:val="005741F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5741F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5741F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5741F9"/>
    <w:rPr>
      <w:i/>
      <w:iCs/>
    </w:rPr>
  </w:style>
  <w:style w:type="paragraph" w:customStyle="1" w:styleId="FigureTitle">
    <w:name w:val="Figure_Title"/>
    <w:basedOn w:val="Normal"/>
    <w:next w:val="Normal"/>
    <w:rsid w:val="005741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5741F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741F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5741F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5741F9"/>
    <w:rPr>
      <w:i/>
      <w:color w:val="0000FF"/>
    </w:rPr>
  </w:style>
  <w:style w:type="character" w:customStyle="1" w:styleId="Heading2Char">
    <w:name w:val="Heading 2 Char"/>
    <w:link w:val="Heading2"/>
    <w:rsid w:val="005741F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5741F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5741F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5741F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5741F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741F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5741F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5741F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5741F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5741F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5741F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5741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5741F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5741F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5741F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741F9"/>
    <w:pPr>
      <w:spacing w:after="0"/>
    </w:pPr>
  </w:style>
  <w:style w:type="paragraph" w:customStyle="1" w:styleId="PL">
    <w:name w:val="PL"/>
    <w:link w:val="PLChar"/>
    <w:qFormat/>
    <w:rsid w:val="005741F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5741F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5741F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5741F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5741F9"/>
    <w:rPr>
      <w:b/>
      <w:bCs/>
    </w:rPr>
  </w:style>
  <w:style w:type="table" w:styleId="TableGrid">
    <w:name w:val="Table Grid"/>
    <w:basedOn w:val="TableNormal"/>
    <w:qFormat/>
    <w:rsid w:val="005741F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741F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5741F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5741F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5741F9"/>
  </w:style>
  <w:style w:type="paragraph" w:customStyle="1" w:styleId="TALCharChar">
    <w:name w:val="TAL Char Char"/>
    <w:basedOn w:val="Normal"/>
    <w:link w:val="TALCharCharChar"/>
    <w:rsid w:val="005741F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5741F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5741F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5741F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5741F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5741F9"/>
    <w:pPr>
      <w:numPr>
        <w:numId w:val="10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2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YUFBLA\OneDrive%20-%20Ericsson%20AB\Documents_Yufei\NewRAT_5G\MAUI_URLLC\URLLC_CMTC\3GPP_contribution\RAN1_100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8" ma:contentTypeDescription="Create a new document." ma:contentTypeScope="" ma:versionID="6cca6519d8555d0f30ecea92b3f61e09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68555e150b4a53948a29f622c3f7f78d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A9D40-29FD-49C5-A5FC-4932C7667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78C326-9C84-4517-9E68-BEEECF13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RAN1_100_template</Template>
  <TotalTime>472</TotalTime>
  <Pages>6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13339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65</cp:revision>
  <cp:lastPrinted>2008-01-31T07:09:00Z</cp:lastPrinted>
  <dcterms:created xsi:type="dcterms:W3CDTF">2020-04-10T16:37:00Z</dcterms:created>
  <dcterms:modified xsi:type="dcterms:W3CDTF">2020-05-16T09:04:00Z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0x0101003C4C8F31E74DF74E8FCFF284B4431CE2</vt:lpwstr>
  </property>
</Properties>
</file>